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</w:rPr>
        <w:t>Паспорт инвестиционной площадки № 1</w:t>
      </w:r>
    </w:p>
    <w:p>
      <w:pPr>
        <w:pStyle w:val="Normal"/>
        <w:jc w:val="center"/>
        <w:rPr/>
      </w:pPr>
      <w:bookmarkStart w:id="0" w:name="__DdeLink__5887_2949213294"/>
      <w:r>
        <w:rPr>
          <w:b/>
        </w:rPr>
        <w:t>Строительство горнолыжного комплекса «Оленгендэ»</w:t>
      </w:r>
      <w:bookmarkEnd w:id="0"/>
    </w:p>
    <w:p>
      <w:pPr>
        <w:pStyle w:val="Normal"/>
        <w:jc w:val="center"/>
        <w:rPr/>
      </w:pPr>
      <w:r>
        <w:rPr/>
      </w:r>
    </w:p>
    <w:tbl>
      <w:tblPr>
        <w:tblStyle w:val="Style_1"/>
        <w:tblW w:w="953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7"/>
        <w:gridCol w:w="5093"/>
      </w:tblGrid>
      <w:tr>
        <w:trPr>
          <w:trHeight w:val="182" w:hRule="atLeast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160" w:leader="none"/>
                <w:tab w:val="left" w:pos="2912" w:leader="none"/>
              </w:tabs>
              <w:rPr>
                <w:sz w:val="23"/>
              </w:rPr>
            </w:pPr>
            <w:r>
              <w:rPr>
                <w:sz w:val="23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41910</wp:posOffset>
                  </wp:positionV>
                  <wp:extent cx="2386330" cy="1920240"/>
                  <wp:effectExtent l="0" t="0" r="0" b="0"/>
                  <wp:wrapSquare wrapText="bothSides"/>
                  <wp:docPr id="1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4" t="-17" r="-14" b="-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330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60" w:leader="none"/>
                <w:tab w:val="left" w:pos="2912" w:leader="none"/>
              </w:tabs>
              <w:rPr>
                <w:i/>
                <w:i/>
                <w:sz w:val="23"/>
              </w:rPr>
            </w:pPr>
            <w:r>
              <w:rPr>
                <w:i/>
                <w:sz w:val="23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153035</wp:posOffset>
                  </wp:positionV>
                  <wp:extent cx="2333625" cy="1891665"/>
                  <wp:effectExtent l="0" t="0" r="0" b="0"/>
                  <wp:wrapSquare wrapText="bothSides"/>
                  <wp:docPr id="2" name="Pictur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32" t="-42" r="-32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89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82" w:hRule="atLeast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160" w:leader="none"/>
                <w:tab w:val="left" w:pos="2912" w:leader="none"/>
              </w:tabs>
              <w:rPr/>
            </w:pPr>
            <w:r>
              <w:rPr>
                <w:sz w:val="23"/>
              </w:rPr>
              <w:t>Муниципальный район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60" w:leader="none"/>
                <w:tab w:val="left" w:pos="2912" w:leader="none"/>
              </w:tabs>
              <w:rPr/>
            </w:pPr>
            <w:r>
              <w:rPr>
                <w:i/>
                <w:sz w:val="23"/>
              </w:rPr>
              <w:t xml:space="preserve">Быстринский муниципальный район </w:t>
            </w:r>
          </w:p>
          <w:p>
            <w:pPr>
              <w:pStyle w:val="Normal"/>
              <w:tabs>
                <w:tab w:val="clear" w:pos="708"/>
                <w:tab w:val="left" w:pos="2160" w:leader="none"/>
                <w:tab w:val="left" w:pos="2912" w:leader="none"/>
              </w:tabs>
              <w:rPr/>
            </w:pPr>
            <w:r>
              <w:rPr>
                <w:i/>
                <w:sz w:val="23"/>
              </w:rPr>
              <w:t>Камчатского края</w:t>
            </w:r>
          </w:p>
        </w:tc>
      </w:tr>
      <w:tr>
        <w:trPr>
          <w:trHeight w:val="210" w:hRule="atLeast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60" w:leader="none"/>
                <w:tab w:val="left" w:pos="2912" w:leader="none"/>
              </w:tabs>
              <w:rPr/>
            </w:pPr>
            <w:r>
              <w:rPr>
                <w:sz w:val="23"/>
              </w:rPr>
              <w:t xml:space="preserve">Название площадки 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60" w:leader="none"/>
                <w:tab w:val="left" w:pos="2912" w:leader="none"/>
              </w:tabs>
              <w:rPr/>
            </w:pPr>
            <w:r>
              <w:rPr>
                <w:i/>
                <w:sz w:val="23"/>
              </w:rPr>
              <w:t>Горнолыжный комплекс «Оленгендэ»</w:t>
            </w:r>
            <w:r>
              <w:rPr>
                <w:sz w:val="23"/>
              </w:rPr>
              <w:t xml:space="preserve"> </w:t>
            </w:r>
          </w:p>
        </w:tc>
      </w:tr>
      <w:tr>
        <w:trPr>
          <w:trHeight w:val="166" w:hRule="atLeast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60" w:leader="none"/>
                <w:tab w:val="left" w:pos="2912" w:leader="none"/>
              </w:tabs>
              <w:rPr/>
            </w:pPr>
            <w:r>
              <w:rPr>
                <w:sz w:val="23"/>
              </w:rPr>
              <w:t>Тип площадки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60" w:leader="none"/>
                <w:tab w:val="left" w:pos="2912" w:leader="none"/>
              </w:tabs>
              <w:rPr/>
            </w:pPr>
            <w:r>
              <w:rPr>
                <w:i/>
                <w:sz w:val="23"/>
              </w:rPr>
              <w:t>Новое строительство</w:t>
            </w:r>
          </w:p>
        </w:tc>
      </w:tr>
      <w:tr>
        <w:trPr>
          <w:trHeight w:val="305" w:hRule="atLeast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160" w:leader="none"/>
                <w:tab w:val="left" w:pos="2912" w:leader="none"/>
              </w:tabs>
              <w:rPr>
                <w:i/>
                <w:i/>
                <w:sz w:val="23"/>
              </w:rPr>
            </w:pPr>
            <w:r>
              <w:rPr>
                <w:sz w:val="23"/>
              </w:rPr>
              <w:t>Описание площадки</w:t>
            </w:r>
            <w:r>
              <w:rPr>
                <w:rStyle w:val="Style20"/>
                <w:i/>
                <w:sz w:val="23"/>
              </w:rPr>
              <w:footnoteReference w:id="2"/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60" w:leader="none"/>
                <w:tab w:val="left" w:pos="2912" w:leader="none"/>
              </w:tabs>
              <w:rPr/>
            </w:pPr>
            <w:r>
              <w:rPr>
                <w:i/>
                <w:sz w:val="23"/>
              </w:rPr>
              <w:t>Земельный участок находится примерно в 7611 метров по направлению на восток от ориентира птр Улакавчан Сев., расположенного за пределами участка (с.Эссо). Климатологический подрайон – I В; зона влажности - В; скоростной нормативный напор ветра – 35 кгс/м2; нормативная снеговая нагрузка – 280 кгс/м2, расчетные зимние температуры наружного воздуха: самой холодной пятидневки – минус 41˚С.: самых холодных суток - минус 37˚С. Сейсмичность района строительства 9 баллов карта ОСР 97 «В» Сейсмичность площадки строительства уточнить инженерно-геологическими изысканиями.</w:t>
            </w:r>
          </w:p>
        </w:tc>
      </w:tr>
      <w:tr>
        <w:trPr>
          <w:trHeight w:val="234" w:hRule="atLeast"/>
        </w:trPr>
        <w:tc>
          <w:tcPr>
            <w:tcW w:w="9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2"/>
              </w:rPr>
            </w:pPr>
            <w:r>
              <w:rPr>
                <w:b/>
                <w:i/>
                <w:sz w:val="1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i w:val="false"/>
                <w:sz w:val="23"/>
              </w:rPr>
              <w:t>Основные сведения о площадке</w:t>
            </w:r>
          </w:p>
          <w:p>
            <w:pPr>
              <w:pStyle w:val="Normal"/>
              <w:jc w:val="center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99" w:hRule="atLeast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3"/>
              </w:rPr>
              <w:t>Предприятие (</w:t>
            </w:r>
            <w:r>
              <w:rPr>
                <w:i/>
                <w:sz w:val="23"/>
              </w:rPr>
              <w:t>организация</w:t>
            </w:r>
            <w:r>
              <w:rPr>
                <w:sz w:val="23"/>
              </w:rPr>
              <w:t>) – владелец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/>
                <w:sz w:val="23"/>
              </w:rPr>
              <w:t xml:space="preserve">Администрация Быстринского </w:t>
            </w:r>
          </w:p>
          <w:p>
            <w:pPr>
              <w:pStyle w:val="Normal"/>
              <w:rPr/>
            </w:pPr>
            <w:r>
              <w:rPr>
                <w:i/>
                <w:sz w:val="23"/>
              </w:rPr>
              <w:t>муниципального района</w:t>
            </w:r>
          </w:p>
        </w:tc>
      </w:tr>
      <w:tr>
        <w:trPr>
          <w:trHeight w:val="99" w:hRule="atLeast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3"/>
              </w:rPr>
              <w:t xml:space="preserve">Юридический адрес 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/>
                <w:sz w:val="23"/>
              </w:rPr>
              <w:t xml:space="preserve">684350, с. Эссо, Камчатский край, </w:t>
            </w:r>
          </w:p>
          <w:p>
            <w:pPr>
              <w:pStyle w:val="Normal"/>
              <w:rPr/>
            </w:pPr>
            <w:r>
              <w:rPr>
                <w:i/>
                <w:sz w:val="23"/>
              </w:rPr>
              <w:t>ул. Терешковой, 1, Факс 21-330</w:t>
            </w:r>
          </w:p>
        </w:tc>
      </w:tr>
      <w:tr>
        <w:trPr>
          <w:trHeight w:val="826" w:hRule="atLeast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3"/>
              </w:rPr>
              <w:t xml:space="preserve">Контактное лицо </w:t>
            </w:r>
            <w:r>
              <w:rPr>
                <w:i/>
                <w:sz w:val="23"/>
              </w:rPr>
              <w:t>(должность, Ф.И.О.)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i/>
                <w:sz w:val="23"/>
              </w:rPr>
              <w:t xml:space="preserve"> </w:t>
            </w:r>
            <w:r>
              <w:rPr>
                <w:i/>
                <w:sz w:val="23"/>
              </w:rPr>
              <w:t>Директор МАУ Зимний спортивный комплекс "Оленгендэ" — Архипкин Евгений Олегович.</w:t>
            </w:r>
          </w:p>
        </w:tc>
      </w:tr>
      <w:tr>
        <w:trPr>
          <w:trHeight w:val="99" w:hRule="atLeast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3"/>
              </w:rPr>
              <w:t>Телефон, e-mail контактного лица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/>
                <w:sz w:val="23"/>
              </w:rPr>
              <w:t>Тел.:  8 (41542) 21-330 (районная администрация); e-mail: arhesso@yandex.ru</w:t>
            </w:r>
          </w:p>
        </w:tc>
      </w:tr>
      <w:tr>
        <w:trPr>
          <w:trHeight w:val="99" w:hRule="atLeast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3"/>
              </w:rPr>
              <w:t>Адрес места расположения площадки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60" w:leader="none"/>
                <w:tab w:val="left" w:pos="2912" w:leader="none"/>
              </w:tabs>
              <w:rPr/>
            </w:pPr>
            <w:r>
              <w:rPr>
                <w:i/>
                <w:sz w:val="23"/>
              </w:rPr>
              <w:t>примерно в 1000 метрах по направлению на юго-восток относительно ориентира «жилой дом», расположенного за границами участка по адресу: с. Эссо, ул. Берёзовая, 19.</w:t>
            </w:r>
          </w:p>
        </w:tc>
      </w:tr>
      <w:tr>
        <w:trPr>
          <w:trHeight w:val="99" w:hRule="atLeast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3"/>
              </w:rPr>
              <w:t xml:space="preserve">Площадь </w:t>
            </w:r>
            <w:r>
              <w:rPr>
                <w:i/>
                <w:sz w:val="23"/>
              </w:rPr>
              <w:t>(м</w:t>
            </w:r>
            <w:r>
              <w:rPr>
                <w:i/>
                <w:sz w:val="23"/>
                <w:vertAlign w:val="superscript"/>
              </w:rPr>
              <w:t>2</w:t>
            </w:r>
            <w:r>
              <w:rPr>
                <w:i/>
                <w:sz w:val="23"/>
              </w:rPr>
              <w:t xml:space="preserve"> или га)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/>
                <w:sz w:val="23"/>
              </w:rPr>
              <w:t>10,50 га</w:t>
            </w:r>
          </w:p>
        </w:tc>
      </w:tr>
      <w:tr>
        <w:trPr>
          <w:trHeight w:val="558" w:hRule="atLeast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3"/>
              </w:rPr>
              <w:t xml:space="preserve">Вид права владения землей или вид собственности 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i/>
                <w:sz w:val="23"/>
              </w:rPr>
              <w:t xml:space="preserve">Муниципальная собственность, </w:t>
            </w:r>
          </w:p>
          <w:p>
            <w:pPr>
              <w:pStyle w:val="Normal"/>
              <w:rPr/>
            </w:pPr>
            <w:r>
              <w:rPr>
                <w:i/>
                <w:sz w:val="23"/>
              </w:rPr>
              <w:t>земли поселений</w:t>
            </w:r>
          </w:p>
        </w:tc>
      </w:tr>
      <w:tr>
        <w:trPr>
          <w:trHeight w:val="99" w:hRule="atLeast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3"/>
              </w:rPr>
              <w:t xml:space="preserve">Возможность расширения 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/>
                <w:sz w:val="23"/>
              </w:rPr>
              <w:t>имеется</w:t>
            </w:r>
          </w:p>
        </w:tc>
      </w:tr>
      <w:tr>
        <w:trPr>
          <w:trHeight w:val="99" w:hRule="atLeast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3"/>
              </w:rPr>
              <w:t xml:space="preserve">Ближайшие производственные объекты и расстояние до них </w:t>
            </w:r>
            <w:r>
              <w:rPr>
                <w:i/>
                <w:sz w:val="23"/>
              </w:rPr>
              <w:t>(м. или км.)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i/>
                <w:sz w:val="23"/>
              </w:rPr>
              <w:t xml:space="preserve"> </w:t>
            </w:r>
            <w:r>
              <w:rPr>
                <w:i/>
                <w:sz w:val="23"/>
              </w:rPr>
              <w:t>МУП  "Быстринское сельскохозяйственное предприятие" - 1,6 км.</w:t>
            </w:r>
          </w:p>
        </w:tc>
      </w:tr>
      <w:tr>
        <w:trPr>
          <w:trHeight w:val="99" w:hRule="atLeast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3"/>
              </w:rPr>
              <w:t>Расстояние до ближайших жилых домов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/>
                <w:sz w:val="23"/>
              </w:rPr>
              <w:t>1000 м.</w:t>
            </w:r>
          </w:p>
        </w:tc>
      </w:tr>
      <w:tr>
        <w:trPr>
          <w:trHeight w:val="306" w:hRule="atLeast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3"/>
              </w:rPr>
              <w:t>Ограничения (обременения)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/>
                <w:sz w:val="23"/>
              </w:rPr>
              <w:t>отсутствуют</w:t>
            </w:r>
          </w:p>
        </w:tc>
      </w:tr>
      <w:tr>
        <w:trPr>
          <w:trHeight w:val="99" w:hRule="atLeast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3"/>
              </w:rPr>
              <w:t>Категория земель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/>
                <w:sz w:val="23"/>
              </w:rPr>
              <w:t>Земли государственной собственности (категория земель - земли населённых пунктов)</w:t>
            </w:r>
          </w:p>
        </w:tc>
      </w:tr>
      <w:tr>
        <w:trPr>
          <w:trHeight w:val="99" w:hRule="atLeast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3"/>
              </w:rPr>
              <w:t xml:space="preserve">Предполагаемое </w:t>
            </w:r>
          </w:p>
          <w:p>
            <w:pPr>
              <w:pStyle w:val="Normal"/>
              <w:rPr/>
            </w:pPr>
            <w:r>
              <w:rPr>
                <w:sz w:val="23"/>
              </w:rPr>
              <w:t>разрешенное использование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/>
                <w:sz w:val="23"/>
              </w:rPr>
              <w:t>С разрешенным использованием для размещения объектов строительства Горнолыжный комплекс «Оленгендэ». Предельные параметры разрешенного строительства объектов капитального строительства в соответствии с ч.3 ст.36 Градостроительного кодекса РФ:</w:t>
            </w:r>
          </w:p>
          <w:p>
            <w:pPr>
              <w:pStyle w:val="Normal"/>
              <w:rPr/>
            </w:pPr>
            <w:r>
              <w:rPr>
                <w:i/>
                <w:sz w:val="23"/>
              </w:rPr>
              <w:t>Максимальное количество этажей – 4 (четыре), максимальная высота здания до – 16 метров;</w:t>
            </w:r>
          </w:p>
        </w:tc>
      </w:tr>
      <w:tr>
        <w:trPr>
          <w:trHeight w:val="99" w:hRule="atLeast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3"/>
              </w:rPr>
              <w:t>Орган, осуществляющий предоставление земельного участка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/>
                <w:sz w:val="23"/>
              </w:rPr>
              <w:t>Комитет по управлению муниципальным имуществом Быстринского района</w:t>
            </w:r>
          </w:p>
        </w:tc>
      </w:tr>
      <w:tr>
        <w:trPr>
          <w:trHeight w:val="376" w:hRule="atLeast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3"/>
              </w:rPr>
              <w:t>Кадастровый номер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/>
                <w:sz w:val="23"/>
              </w:rPr>
              <w:t xml:space="preserve">№ </w:t>
            </w:r>
            <w:r>
              <w:rPr>
                <w:i/>
                <w:sz w:val="23"/>
              </w:rPr>
              <w:t>41:04:01 01 03:0017</w:t>
            </w:r>
          </w:p>
        </w:tc>
      </w:tr>
      <w:tr>
        <w:trPr>
          <w:trHeight w:val="99" w:hRule="atLeast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3"/>
              </w:rPr>
              <w:t>Наличие санитарно-защитных/</w:t>
            </w:r>
          </w:p>
          <w:p>
            <w:pPr>
              <w:pStyle w:val="Normal"/>
              <w:rPr/>
            </w:pPr>
            <w:r>
              <w:rPr>
                <w:sz w:val="23"/>
              </w:rPr>
              <w:t>охранных зон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i/>
                <w:sz w:val="23"/>
              </w:rPr>
              <w:t>─</w:t>
            </w:r>
          </w:p>
        </w:tc>
      </w:tr>
      <w:tr>
        <w:trPr>
          <w:trHeight w:val="99" w:hRule="atLeast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3"/>
              </w:rPr>
              <w:t xml:space="preserve">Наличие транспортных </w:t>
            </w:r>
          </w:p>
          <w:p>
            <w:pPr>
              <w:pStyle w:val="Normal"/>
              <w:rPr/>
            </w:pPr>
            <w:r>
              <w:rPr>
                <w:sz w:val="23"/>
              </w:rPr>
              <w:t>подъездных путей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i/>
                <w:sz w:val="23"/>
              </w:rPr>
              <w:t>Грунтовая дорога через р. Быстрая</w:t>
            </w:r>
          </w:p>
        </w:tc>
      </w:tr>
      <w:tr>
        <w:trPr>
          <w:trHeight w:val="234" w:hRule="atLeast"/>
        </w:trPr>
        <w:tc>
          <w:tcPr>
            <w:tcW w:w="9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i w:val="false"/>
                <w:sz w:val="23"/>
              </w:rPr>
              <w:t>Удаленность участка (в км) от:</w:t>
            </w:r>
          </w:p>
        </w:tc>
      </w:tr>
      <w:tr>
        <w:trPr>
          <w:trHeight w:val="275" w:hRule="atLeast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3"/>
              </w:rPr>
              <w:t xml:space="preserve">центра субъекта Российской Федерации, </w:t>
            </w:r>
          </w:p>
          <w:p>
            <w:pPr>
              <w:pStyle w:val="Normal"/>
              <w:rPr/>
            </w:pPr>
            <w:r>
              <w:rPr>
                <w:sz w:val="23"/>
              </w:rPr>
              <w:t xml:space="preserve">в котором находится площадка 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249" w:right="100" w:hanging="0"/>
              <w:rPr/>
            </w:pPr>
            <w:r>
              <w:rPr>
                <w:i/>
                <w:sz w:val="23"/>
              </w:rPr>
              <w:t xml:space="preserve">г. Петропавловск-Камчатский - 520 км </w:t>
            </w:r>
          </w:p>
        </w:tc>
      </w:tr>
      <w:tr>
        <w:trPr>
          <w:trHeight w:val="908" w:hRule="atLeast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3"/>
              </w:rPr>
              <w:t xml:space="preserve">центра другого ближайшего субъекта РФ 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/>
                <w:sz w:val="23"/>
              </w:rPr>
              <w:t>Сообщение с населёнными пунктами Корякского автономного округа осуществляется по автозимнику продлённого действия Анавгай – Тигиль</w:t>
            </w:r>
          </w:p>
        </w:tc>
      </w:tr>
      <w:tr>
        <w:trPr>
          <w:trHeight w:val="2319" w:hRule="atLeast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 w:val="false"/>
                <w:i w:val="false"/>
                <w:color w:val="000000"/>
                <w:sz w:val="23"/>
              </w:rPr>
            </w:pPr>
            <w:r>
              <w:rPr>
                <w:i w:val="false"/>
                <w:color w:val="000000"/>
                <w:sz w:val="23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111760</wp:posOffset>
                  </wp:positionV>
                  <wp:extent cx="2322195" cy="1136015"/>
                  <wp:effectExtent l="0" t="0" r="0" b="0"/>
                  <wp:wrapSquare wrapText="bothSides"/>
                  <wp:docPr id="3" name="Pictur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5" t="-22" r="-15" b="-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195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>
                <w:i w:val="false"/>
                <w:i w:val="false"/>
                <w:color w:val="000000"/>
                <w:sz w:val="23"/>
              </w:rPr>
            </w:pPr>
            <w:r>
              <w:rPr>
                <w:i w:val="false"/>
                <w:color w:val="000000"/>
                <w:sz w:val="23"/>
              </w:rPr>
            </w:r>
          </w:p>
          <w:p>
            <w:pPr>
              <w:pStyle w:val="Normal"/>
              <w:rPr>
                <w:i w:val="false"/>
                <w:i w:val="false"/>
                <w:color w:val="000000"/>
                <w:sz w:val="23"/>
              </w:rPr>
            </w:pPr>
            <w:r>
              <w:rPr>
                <w:i w:val="false"/>
                <w:color w:val="000000"/>
                <w:sz w:val="23"/>
              </w:rPr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i/>
                <w:sz w:val="23"/>
              </w:rPr>
              <w:t xml:space="preserve">ближайшего города - </w:t>
            </w:r>
          </w:p>
          <w:p>
            <w:pPr>
              <w:pStyle w:val="Normal"/>
              <w:rPr/>
            </w:pPr>
            <w:r>
              <w:rPr>
                <w:i/>
                <w:sz w:val="23"/>
              </w:rPr>
              <w:t>Петропавловск-Камчатский:</w:t>
            </w:r>
          </w:p>
          <w:p>
            <w:pPr>
              <w:pStyle w:val="Normal"/>
              <w:rPr/>
            </w:pPr>
            <w:r>
              <w:rPr>
                <w:i/>
                <w:sz w:val="23"/>
              </w:rPr>
              <w:t>- от. с. Эссо до с. Мильково: 69 км. (участок Крапивная-Эссо),</w:t>
            </w:r>
          </w:p>
          <w:p>
            <w:pPr>
              <w:pStyle w:val="Normal"/>
              <w:rPr/>
            </w:pPr>
            <w:r>
              <w:rPr>
                <w:i/>
                <w:sz w:val="23"/>
              </w:rPr>
              <w:t>- до трассы г. Петропавловск-Камчатский – Мильково-Усть-Камчатский + 153 км ;</w:t>
            </w:r>
          </w:p>
          <w:p>
            <w:pPr>
              <w:pStyle w:val="Normal"/>
              <w:rPr/>
            </w:pPr>
            <w:r>
              <w:rPr>
                <w:i/>
                <w:sz w:val="23"/>
              </w:rPr>
              <w:t>- от “развилки” до с. Мильково - 222 км. ;</w:t>
            </w:r>
          </w:p>
        </w:tc>
      </w:tr>
      <w:tr>
        <w:trPr>
          <w:trHeight w:val="234" w:hRule="atLeast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3"/>
              </w:rPr>
              <w:t>- от с. Эссо до с. Анавгай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0" w:right="0" w:firstLine="340"/>
              <w:rPr/>
            </w:pPr>
            <w:r>
              <w:rPr>
                <w:i/>
                <w:sz w:val="23"/>
              </w:rPr>
              <w:t>26 км.</w:t>
            </w:r>
          </w:p>
        </w:tc>
      </w:tr>
      <w:tr>
        <w:trPr>
          <w:trHeight w:val="234" w:hRule="atLeast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3"/>
              </w:rPr>
              <w:t>- автодороги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266" w:right="100" w:hanging="0"/>
              <w:rPr/>
            </w:pPr>
            <w:r>
              <w:rPr>
                <w:i/>
                <w:sz w:val="23"/>
              </w:rPr>
              <w:t>1 км.</w:t>
            </w:r>
          </w:p>
        </w:tc>
      </w:tr>
      <w:tr>
        <w:trPr>
          <w:trHeight w:val="243" w:hRule="atLeast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3"/>
              </w:rPr>
              <w:t>- аэропорта</w:t>
            </w:r>
            <w:r>
              <w:rPr>
                <w:i/>
                <w:sz w:val="23"/>
              </w:rPr>
              <w:t xml:space="preserve"> (вертолетная площадка в с. Эссо - авиасообщение</w:t>
            </w:r>
            <w:r>
              <w:rPr>
                <w:sz w:val="23"/>
              </w:rPr>
              <w:t>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249" w:right="299" w:hanging="0"/>
              <w:rPr/>
            </w:pPr>
            <w:r>
              <w:rPr>
                <w:i/>
                <w:sz w:val="23"/>
              </w:rPr>
              <w:t>1 км.</w:t>
            </w:r>
          </w:p>
        </w:tc>
      </w:tr>
      <w:tr>
        <w:trPr>
          <w:trHeight w:val="234" w:hRule="atLeast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3"/>
              </w:rPr>
              <w:t>морского порта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282" w:right="100" w:hanging="0"/>
              <w:rPr/>
            </w:pPr>
            <w:r>
              <w:rPr>
                <w:i/>
                <w:sz w:val="23"/>
              </w:rPr>
              <w:t>Выхода к морю нет</w:t>
            </w:r>
          </w:p>
        </w:tc>
      </w:tr>
      <w:tr>
        <w:trPr>
          <w:trHeight w:val="234" w:hRule="atLeast"/>
        </w:trPr>
        <w:tc>
          <w:tcPr>
            <w:tcW w:w="9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i w:val="false"/>
                <w:sz w:val="23"/>
              </w:rPr>
              <w:t>Характеристика инфраструктуры</w:t>
            </w:r>
          </w:p>
        </w:tc>
      </w:tr>
      <w:tr>
        <w:trPr>
          <w:trHeight w:val="234" w:hRule="atLeast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газ (куб.м./час)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100" w:hanging="0"/>
              <w:rPr/>
            </w:pPr>
            <w:r>
              <w:rPr/>
              <w:t>-</w:t>
            </w:r>
          </w:p>
        </w:tc>
      </w:tr>
      <w:tr>
        <w:trPr>
          <w:trHeight w:val="234" w:hRule="atLeast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отопление (Гкал/час)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113" w:hanging="0"/>
              <w:jc w:val="left"/>
              <w:rPr/>
            </w:pPr>
            <w:r>
              <w:rPr>
                <w:i/>
                <w:sz w:val="23"/>
              </w:rPr>
              <w:t>Необходимо бурение скважины (геотермальное)</w:t>
            </w:r>
            <w:r>
              <w:rPr>
                <w:rStyle w:val="Style20"/>
                <w:i/>
                <w:sz w:val="23"/>
              </w:rPr>
              <w:footnoteReference w:id="3"/>
            </w:r>
            <w:r>
              <w:rPr>
                <w:i/>
                <w:sz w:val="23"/>
              </w:rPr>
              <w:t>.</w:t>
            </w:r>
          </w:p>
        </w:tc>
      </w:tr>
      <w:tr>
        <w:trPr>
          <w:trHeight w:val="234" w:hRule="atLeast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Пар (бар)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282" w:right="100" w:hanging="0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электроэнергия (кВт/час)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widowControl/>
              <w:spacing w:before="0" w:after="0"/>
              <w:jc w:val="left"/>
              <w:rPr/>
            </w:pPr>
            <w:r>
              <w:rPr>
                <w:i/>
                <w:color w:val="000000"/>
                <w:sz w:val="22"/>
              </w:rPr>
              <w:t xml:space="preserve">380 В, 60 Квт. </w:t>
            </w:r>
            <w:r>
              <w:rPr>
                <w:i/>
                <w:color w:val="000000"/>
                <w:sz w:val="23"/>
              </w:rPr>
              <w:t>Проведена ВЛ — 1,5 км, 60 квт, 380 В. для подключения бугельного подъемника, электроснабжения объектов инфраструктуры</w:t>
            </w:r>
          </w:p>
        </w:tc>
      </w:tr>
      <w:tr>
        <w:trPr>
          <w:trHeight w:val="234" w:hRule="atLeast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водоснабжение (куб.м./год)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113" w:hanging="0"/>
              <w:jc w:val="left"/>
              <w:rPr/>
            </w:pPr>
            <w:r>
              <w:rPr>
                <w:i/>
                <w:sz w:val="23"/>
              </w:rPr>
              <w:t>Протекает река Быстрая (горная, чистая вода) – 500 м.</w:t>
            </w:r>
          </w:p>
        </w:tc>
      </w:tr>
      <w:tr>
        <w:trPr>
          <w:trHeight w:val="234" w:hRule="atLeast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водоотведение (куб.м./год)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100" w:hanging="0"/>
              <w:rPr/>
            </w:pPr>
            <w:r>
              <w:rPr>
                <w:i/>
                <w:sz w:val="23"/>
              </w:rPr>
              <w:t>Требуется построить локальную (септики)</w:t>
            </w:r>
          </w:p>
        </w:tc>
      </w:tr>
      <w:tr>
        <w:trPr>
          <w:trHeight w:val="234" w:hRule="atLeast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очистные сооружения (куб.м./год)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100" w:hanging="0"/>
              <w:rPr/>
            </w:pPr>
            <w:r>
              <w:rPr>
                <w:i/>
                <w:sz w:val="23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котельные установки (кВт)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100" w:hanging="0"/>
              <w:rPr/>
            </w:pPr>
            <w:r>
              <w:rPr>
                <w:i/>
                <w:sz w:val="23"/>
              </w:rPr>
              <w:t>Печное отопление в домиках</w:t>
            </w:r>
          </w:p>
        </w:tc>
      </w:tr>
      <w:tr>
        <w:trPr>
          <w:trHeight w:val="234" w:hRule="atLeast"/>
        </w:trPr>
        <w:tc>
          <w:tcPr>
            <w:tcW w:w="9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i w:val="false"/>
                <w:sz w:val="23"/>
              </w:rPr>
              <w:t>Основные параметры зданий и сооружений, расположенных на площадке</w:t>
            </w:r>
          </w:p>
        </w:tc>
      </w:tr>
      <w:tr>
        <w:trPr>
          <w:trHeight w:val="234" w:hRule="atLeast"/>
        </w:trPr>
        <w:tc>
          <w:tcPr>
            <w:tcW w:w="9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0" w:right="0" w:hanging="0"/>
              <w:jc w:val="center"/>
              <w:rPr/>
            </w:pPr>
            <w:r>
              <w:rPr>
                <w:sz w:val="24"/>
                <w:szCs w:val="24"/>
              </w:rPr>
              <w:t>Наименование здания, сооружения на территории имеются:</w:t>
            </w:r>
          </w:p>
          <w:p>
            <w:pPr>
              <w:pStyle w:val="Normal"/>
              <w:ind w:left="10" w:right="0" w:hanging="0"/>
              <w:jc w:val="center"/>
              <w:rPr/>
            </w:pPr>
            <w:r>
              <w:rPr>
                <w:sz w:val="24"/>
                <w:szCs w:val="24"/>
              </w:rPr>
              <w:t>(Административное здание, хозяйственное здание, котельная, гараж, насосная и т.д.)</w:t>
            </w:r>
          </w:p>
        </w:tc>
      </w:tr>
      <w:tr>
        <w:trPr>
          <w:trHeight w:val="181" w:hRule="atLeast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 помещения для теплых раздевалок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57" w:right="113" w:hanging="0"/>
              <w:jc w:val="left"/>
              <w:rPr/>
            </w:pPr>
            <w:r>
              <w:rPr/>
            </w:r>
          </w:p>
        </w:tc>
      </w:tr>
      <w:tr>
        <w:trPr>
          <w:trHeight w:val="181" w:hRule="atLeast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площадь (кв.м.)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57" w:right="113" w:hanging="0"/>
              <w:jc w:val="left"/>
              <w:rPr>
                <w:sz w:val="24"/>
                <w:szCs w:val="24"/>
              </w:rPr>
            </w:pPr>
            <w:r>
              <w:rPr>
                <w:b w:val="false"/>
                <w:i/>
                <w:sz w:val="24"/>
                <w:szCs w:val="24"/>
              </w:rPr>
              <w:t>130 кв.м.</w:t>
            </w:r>
          </w:p>
        </w:tc>
      </w:tr>
      <w:tr>
        <w:trPr>
          <w:trHeight w:val="234" w:hRule="atLeast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этажность (ед.)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57" w:right="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высота этажа (м.)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57" w:right="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износ (%)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57" w:right="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материал: дерево, брус</w:t>
            </w:r>
          </w:p>
        </w:tc>
      </w:tr>
      <w:tr>
        <w:trPr>
          <w:trHeight w:val="234" w:hRule="atLeast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  <w:t>2 юрты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57" w:right="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4" w:hRule="atLeast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lang w:eastAsia="en-US"/>
              </w:rPr>
              <w:t>площадь (кв.м.)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57" w:right="113" w:hanging="0"/>
              <w:jc w:val="left"/>
              <w:rPr>
                <w:sz w:val="24"/>
                <w:szCs w:val="24"/>
              </w:rPr>
            </w:pPr>
            <w:r>
              <w:rPr>
                <w:b w:val="false"/>
                <w:i/>
                <w:sz w:val="24"/>
                <w:szCs w:val="24"/>
              </w:rPr>
              <w:t>50 кв.м.</w:t>
            </w:r>
          </w:p>
        </w:tc>
      </w:tr>
      <w:tr>
        <w:trPr>
          <w:trHeight w:val="234" w:hRule="atLeast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этажность (ед.)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57" w:right="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высота этажа (м.)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57" w:right="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износ (%)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57" w:right="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Бугельный подъемник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57" w:right="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4" w:hRule="atLeast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площадь (кв.м.)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57" w:right="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м.</w:t>
            </w:r>
          </w:p>
        </w:tc>
      </w:tr>
      <w:tr>
        <w:trPr>
          <w:trHeight w:val="234" w:hRule="atLeast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Возможность расширения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sz w:val="23"/>
              </w:rPr>
              <w:t>При создании спортивной инфраструктуры возможно проведение всероссийских и международных соревнований (лыжные гонки) по зимним видам спорта в соответствии с требованиями МОК.</w:t>
            </w:r>
          </w:p>
        </w:tc>
      </w:tr>
      <w:tr>
        <w:trPr>
          <w:trHeight w:val="234" w:hRule="atLeast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Предложения по использованию площадки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>Рассматривается вариант долевого участия бюджетов различных уровней и частных инвестиций, включая международные инвестиции; включая формат государственного-частного партнерства.</w:t>
            </w:r>
          </w:p>
        </w:tc>
      </w:tr>
      <w:tr>
        <w:trPr>
          <w:trHeight w:val="234" w:hRule="atLeast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Дополнительная информация о площадке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sz w:val="23"/>
              </w:rPr>
              <w:t xml:space="preserve">В Камчатском крае стали традиционными соревнования по национальным видам спорта, которые ежегодно проводятся в с. Эссо. Соревнования по северному многоборью проходят в рамках празднования "Дня оленевода". К традиционным ежегодным соревнованиям «Быстринский спринт» добавился новый вид соревнований по ски-джорингу на 5 и 10 км. в которых  участвуют спортсмены из г. Петропавловска-Камчатский и других муниципальных районов. </w:t>
            </w:r>
          </w:p>
        </w:tc>
      </w:tr>
    </w:tbl>
    <w:p>
      <w:pPr>
        <w:pStyle w:val="Normal"/>
        <w:rPr/>
      </w:pPr>
      <w:r>
        <w:rPr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540"/>
        <w:rPr>
          <w:sz w:val="23"/>
        </w:rPr>
      </w:pPr>
      <w:r>
        <w:rPr>
          <w:sz w:val="23"/>
        </w:rPr>
      </w:r>
    </w:p>
    <w:p>
      <w:pPr>
        <w:pStyle w:val="Normal"/>
        <w:ind w:left="0" w:right="0" w:firstLine="54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Normal"/>
        <w:ind w:left="0" w:right="0" w:firstLine="54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1"/>
        <w:rPr/>
      </w:pPr>
      <w:r>
        <w:rPr>
          <w:rStyle w:val="Style16"/>
        </w:rPr>
        <w:footnoteRef/>
      </w:r>
      <w:r>
        <w:rPr/>
        <w:tab/>
        <w:t>Районно-климатические условия, особые условия</w:t>
      </w:r>
    </w:p>
  </w:footnote>
  <w:footnote w:id="3">
    <w:p>
      <w:pPr>
        <w:pStyle w:val="Footnote1"/>
        <w:rPr/>
      </w:pPr>
      <w:r>
        <w:rPr>
          <w:rStyle w:val="Style16"/>
        </w:rPr>
        <w:footnoteRef/>
      </w:r>
      <w:r>
        <w:rPr/>
        <w:tab/>
        <w:t>В районе южной группы источников термальные воды могут быть вскрыты преимущественно по левобережью р. Быстрой, но на большей глубине, в сравнении с вышеперечисленными участками. (1,5 км).</w:t>
      </w:r>
    </w:p>
  </w:footnote>
</w:footnotes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DejaVu Sans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4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link w:val="Style_31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Droid Sans Fallback" w:cs="DejaVu 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55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Droid Sans Fallback" w:cs="DejaVu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14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Droid Sans Fallback" w:cs="DejaVu 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54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Droid Sans Fallback" w:cs="DejaVu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30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Droid Sans Fallback" w:cs="DejaVu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5"/>
    <w:qFormat/>
    <w:rPr>
      <w:rFonts w:ascii="XO Thames" w:hAnsi="XO Thames"/>
      <w:sz w:val="28"/>
    </w:rPr>
  </w:style>
  <w:style w:type="character" w:styleId="Contents4">
    <w:name w:val="Contents 4"/>
    <w:link w:val="Style_6"/>
    <w:qFormat/>
    <w:rPr>
      <w:rFonts w:ascii="XO Thames" w:hAnsi="XO Thames"/>
      <w:sz w:val="28"/>
    </w:rPr>
  </w:style>
  <w:style w:type="character" w:styleId="WW8Num2z7">
    <w:name w:val="WW8Num2z7"/>
    <w:link w:val="Style_7"/>
    <w:qFormat/>
    <w:rPr/>
  </w:style>
  <w:style w:type="character" w:styleId="WW8Num2z0">
    <w:name w:val="WW8Num2z0"/>
    <w:link w:val="Style_8"/>
    <w:qFormat/>
    <w:rPr/>
  </w:style>
  <w:style w:type="character" w:styleId="Contents6">
    <w:name w:val="Contents 6"/>
    <w:link w:val="Style_9"/>
    <w:qFormat/>
    <w:rPr>
      <w:rFonts w:ascii="XO Thames" w:hAnsi="XO Thames"/>
      <w:sz w:val="28"/>
    </w:rPr>
  </w:style>
  <w:style w:type="character" w:styleId="Contents7">
    <w:name w:val="Contents 7"/>
    <w:link w:val="Style_10"/>
    <w:qFormat/>
    <w:rPr>
      <w:rFonts w:ascii="XO Thames" w:hAnsi="XO Thames"/>
      <w:sz w:val="28"/>
    </w:rPr>
  </w:style>
  <w:style w:type="character" w:styleId="Style9">
    <w:name w:val="Текст выноски"/>
    <w:link w:val="Style_11"/>
    <w:qFormat/>
    <w:rPr>
      <w:rFonts w:ascii="Tahoma" w:hAnsi="Tahoma"/>
      <w:sz w:val="16"/>
    </w:rPr>
  </w:style>
  <w:style w:type="character" w:styleId="11">
    <w:name w:val="Название1"/>
    <w:link w:val="Style_12"/>
    <w:qFormat/>
    <w:rPr>
      <w:i/>
      <w:sz w:val="24"/>
    </w:rPr>
  </w:style>
  <w:style w:type="character" w:styleId="WW8Num2z1">
    <w:name w:val="WW8Num2z1"/>
    <w:link w:val="Style_13"/>
    <w:qFormat/>
    <w:rPr/>
  </w:style>
  <w:style w:type="character" w:styleId="Heading3">
    <w:name w:val="Heading 3"/>
    <w:link w:val="Style_14"/>
    <w:qFormat/>
    <w:rPr>
      <w:rFonts w:ascii="XO Thames" w:hAnsi="XO Thames"/>
      <w:b/>
      <w:sz w:val="26"/>
    </w:rPr>
  </w:style>
  <w:style w:type="character" w:styleId="WW">
    <w:name w:val="WW-Символы концевой сноски"/>
    <w:link w:val="Style_15"/>
    <w:qFormat/>
    <w:rPr/>
  </w:style>
  <w:style w:type="character" w:styleId="Style10">
    <w:name w:val="Привязка концевой сноски"/>
    <w:rPr>
      <w:vertAlign w:val="superscript"/>
    </w:rPr>
  </w:style>
  <w:style w:type="character" w:styleId="EndnoteCharacters">
    <w:name w:val="Endnote Characters"/>
    <w:link w:val="Style_16"/>
    <w:qFormat/>
    <w:rPr>
      <w:vertAlign w:val="superscript"/>
    </w:rPr>
  </w:style>
  <w:style w:type="character" w:styleId="DefaultParagraphFont">
    <w:name w:val="Default Paragraph Font"/>
    <w:link w:val="Style_17"/>
    <w:qFormat/>
    <w:rPr/>
  </w:style>
  <w:style w:type="character" w:styleId="AbsatzStandardschriftart">
    <w:name w:val="Absatz-Standardschriftart"/>
    <w:link w:val="Style_18"/>
    <w:qFormat/>
    <w:rPr/>
  </w:style>
  <w:style w:type="character" w:styleId="Style11">
    <w:name w:val="Символы концевой сноски"/>
    <w:link w:val="Style_19"/>
    <w:qFormat/>
    <w:rPr>
      <w:vertAlign w:val="superscript"/>
    </w:rPr>
  </w:style>
  <w:style w:type="character" w:styleId="WW8Num1z0">
    <w:name w:val="WW8Num1z0"/>
    <w:link w:val="Style_20"/>
    <w:qFormat/>
    <w:rPr>
      <w:sz w:val="23"/>
    </w:rPr>
  </w:style>
  <w:style w:type="character" w:styleId="List">
    <w:name w:val="List"/>
    <w:basedOn w:val="Textbody"/>
    <w:link w:val="Style_21"/>
    <w:qFormat/>
    <w:rPr/>
  </w:style>
  <w:style w:type="character" w:styleId="WW8Num2z2">
    <w:name w:val="WW8Num2z2"/>
    <w:link w:val="Style_22"/>
    <w:qFormat/>
    <w:rPr/>
  </w:style>
  <w:style w:type="character" w:styleId="Header">
    <w:name w:val="Header"/>
    <w:link w:val="Style_23"/>
    <w:qFormat/>
    <w:rPr/>
  </w:style>
  <w:style w:type="character" w:styleId="Style12">
    <w:name w:val="Заголовок"/>
    <w:link w:val="Style_24"/>
    <w:qFormat/>
    <w:rPr>
      <w:rFonts w:ascii="Arial" w:hAnsi="Arial"/>
      <w:sz w:val="28"/>
    </w:rPr>
  </w:style>
  <w:style w:type="character" w:styleId="WW8Num2z6">
    <w:name w:val="WW8Num2z6"/>
    <w:link w:val="Style_25"/>
    <w:qFormat/>
    <w:rPr/>
  </w:style>
  <w:style w:type="character" w:styleId="WW8Num2z8">
    <w:name w:val="WW8Num2z8"/>
    <w:link w:val="Style_26"/>
    <w:qFormat/>
    <w:rPr/>
  </w:style>
  <w:style w:type="character" w:styleId="Contents3">
    <w:name w:val="Contents 3"/>
    <w:link w:val="Style_27"/>
    <w:qFormat/>
    <w:rPr>
      <w:rFonts w:ascii="XO Thames" w:hAnsi="XO Thames"/>
      <w:sz w:val="28"/>
    </w:rPr>
  </w:style>
  <w:style w:type="character" w:styleId="WW8Num2z5">
    <w:name w:val="WW8Num2z5"/>
    <w:link w:val="Style_28"/>
    <w:qFormat/>
    <w:rPr/>
  </w:style>
  <w:style w:type="character" w:styleId="Caption">
    <w:name w:val="caption"/>
    <w:link w:val="Style_29"/>
    <w:qFormat/>
    <w:rPr>
      <w:i/>
      <w:sz w:val="24"/>
    </w:rPr>
  </w:style>
  <w:style w:type="character" w:styleId="Textbody">
    <w:name w:val="Text body"/>
    <w:link w:val="Style_3"/>
    <w:qFormat/>
    <w:rPr/>
  </w:style>
  <w:style w:type="character" w:styleId="Heading5">
    <w:name w:val="Heading 5"/>
    <w:link w:val="Style_30"/>
    <w:qFormat/>
    <w:rPr>
      <w:rFonts w:ascii="XO Thames" w:hAnsi="XO Thames"/>
      <w:b/>
      <w:sz w:val="22"/>
    </w:rPr>
  </w:style>
  <w:style w:type="character" w:styleId="Heading1">
    <w:name w:val="Heading 1"/>
    <w:link w:val="Style_31"/>
    <w:qFormat/>
    <w:rPr>
      <w:rFonts w:ascii="XO Thames" w:hAnsi="XO Thames"/>
      <w:b/>
      <w:sz w:val="32"/>
    </w:rPr>
  </w:style>
  <w:style w:type="character" w:styleId="Style13">
    <w:name w:val="Знак сноски"/>
    <w:link w:val="Style_32"/>
    <w:qFormat/>
    <w:rPr>
      <w:vertAlign w:val="superscript"/>
    </w:rPr>
  </w:style>
  <w:style w:type="character" w:styleId="Style14">
    <w:name w:val="Интернет-ссылка"/>
    <w:link w:val="Style_33"/>
    <w:rPr>
      <w:color w:val="0000FF"/>
      <w:u w:val="single"/>
    </w:rPr>
  </w:style>
  <w:style w:type="character" w:styleId="Footnote">
    <w:name w:val="Footnote"/>
    <w:link w:val="Style_34"/>
    <w:qFormat/>
    <w:rPr>
      <w:sz w:val="20"/>
    </w:rPr>
  </w:style>
  <w:style w:type="character" w:styleId="Footer">
    <w:name w:val="Footer"/>
    <w:link w:val="Style_35"/>
    <w:qFormat/>
    <w:rPr/>
  </w:style>
  <w:style w:type="character" w:styleId="Style15">
    <w:name w:val="Содержимое таблицы"/>
    <w:link w:val="Style_36"/>
    <w:qFormat/>
    <w:rPr/>
  </w:style>
  <w:style w:type="character" w:styleId="Contents1">
    <w:name w:val="Contents 1"/>
    <w:link w:val="Style_37"/>
    <w:qFormat/>
    <w:rPr>
      <w:rFonts w:ascii="XO Thames" w:hAnsi="XO Thames"/>
      <w:b/>
      <w:sz w:val="28"/>
    </w:rPr>
  </w:style>
  <w:style w:type="character" w:styleId="Style16">
    <w:name w:val="Символ сноски"/>
    <w:link w:val="Style_38"/>
    <w:qFormat/>
    <w:rPr/>
  </w:style>
  <w:style w:type="character" w:styleId="HeaderandFooter">
    <w:name w:val="Header and Footer"/>
    <w:link w:val="Style_39"/>
    <w:qFormat/>
    <w:rPr>
      <w:rFonts w:ascii="XO Thames" w:hAnsi="XO Thames"/>
      <w:sz w:val="20"/>
    </w:rPr>
  </w:style>
  <w:style w:type="character" w:styleId="Style17">
    <w:name w:val="Указатель"/>
    <w:link w:val="Style_40"/>
    <w:qFormat/>
    <w:rPr/>
  </w:style>
  <w:style w:type="character" w:styleId="Contents9">
    <w:name w:val="Contents 9"/>
    <w:link w:val="Style_41"/>
    <w:qFormat/>
    <w:rPr>
      <w:rFonts w:ascii="XO Thames" w:hAnsi="XO Thames"/>
      <w:sz w:val="28"/>
    </w:rPr>
  </w:style>
  <w:style w:type="character" w:styleId="Style18">
    <w:name w:val="Знак концевой сноски"/>
    <w:link w:val="Style_42"/>
    <w:qFormat/>
    <w:rPr>
      <w:vertAlign w:val="superscript"/>
    </w:rPr>
  </w:style>
  <w:style w:type="character" w:styleId="Contents8">
    <w:name w:val="Contents 8"/>
    <w:link w:val="Style_43"/>
    <w:qFormat/>
    <w:rPr>
      <w:rFonts w:ascii="XO Thames" w:hAnsi="XO Thames"/>
      <w:sz w:val="28"/>
    </w:rPr>
  </w:style>
  <w:style w:type="character" w:styleId="WW8Num2z4">
    <w:name w:val="WW8Num2z4"/>
    <w:link w:val="Style_44"/>
    <w:qFormat/>
    <w:rPr/>
  </w:style>
  <w:style w:type="character" w:styleId="WW8Num2z3">
    <w:name w:val="WW8Num2z3"/>
    <w:link w:val="Style_45"/>
    <w:qFormat/>
    <w:rPr/>
  </w:style>
  <w:style w:type="character" w:styleId="Pagenumber">
    <w:name w:val="page number"/>
    <w:basedOn w:val="Style22"/>
    <w:link w:val="Style_46"/>
    <w:qFormat/>
    <w:rPr/>
  </w:style>
  <w:style w:type="character" w:styleId="Style19">
    <w:name w:val="Заголовок таблицы"/>
    <w:basedOn w:val="Style15"/>
    <w:link w:val="Style_48"/>
    <w:qFormat/>
    <w:rPr>
      <w:b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link w:val="Style_2"/>
    <w:qFormat/>
    <w:rPr>
      <w:vertAlign w:val="superscript"/>
    </w:rPr>
  </w:style>
  <w:style w:type="character" w:styleId="Style21">
    <w:name w:val="Основной шрифт"/>
    <w:link w:val="Style_49"/>
    <w:qFormat/>
    <w:rPr/>
  </w:style>
  <w:style w:type="character" w:styleId="Contents5">
    <w:name w:val="Contents 5"/>
    <w:link w:val="Style_50"/>
    <w:qFormat/>
    <w:rPr>
      <w:rFonts w:ascii="XO Thames" w:hAnsi="XO Thames"/>
      <w:sz w:val="28"/>
    </w:rPr>
  </w:style>
  <w:style w:type="character" w:styleId="Style22">
    <w:name w:val="Основной шрифт абзаца"/>
    <w:link w:val="Style_47"/>
    <w:qFormat/>
    <w:rPr/>
  </w:style>
  <w:style w:type="character" w:styleId="Subtitle">
    <w:name w:val="Subtitle"/>
    <w:link w:val="Style_51"/>
    <w:qFormat/>
    <w:rPr>
      <w:rFonts w:ascii="XO Thames" w:hAnsi="XO Thames"/>
      <w:i/>
      <w:sz w:val="24"/>
    </w:rPr>
  </w:style>
  <w:style w:type="character" w:styleId="Style23">
    <w:name w:val="Символ концевой сноски"/>
    <w:link w:val="Style_52"/>
    <w:qFormat/>
    <w:rPr>
      <w:vertAlign w:val="superscript"/>
    </w:rPr>
  </w:style>
  <w:style w:type="character" w:styleId="Title">
    <w:name w:val="Title"/>
    <w:link w:val="Style_53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54"/>
    <w:qFormat/>
    <w:rPr>
      <w:rFonts w:ascii="XO Thames" w:hAnsi="XO Thames"/>
      <w:b/>
      <w:sz w:val="24"/>
    </w:rPr>
  </w:style>
  <w:style w:type="character" w:styleId="Heading2">
    <w:name w:val="Heading 2"/>
    <w:link w:val="Style_55"/>
    <w:qFormat/>
    <w:rPr>
      <w:rFonts w:ascii="XO Thames" w:hAnsi="XO Thames"/>
      <w:b/>
      <w:sz w:val="28"/>
    </w:rPr>
  </w:style>
  <w:style w:type="paragraph" w:styleId="Style24">
    <w:name w:val="Заголовок"/>
    <w:basedOn w:val="Normal"/>
    <w:next w:val="Style25"/>
    <w:link w:val="Style_24_ch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25">
    <w:name w:val="Body Text"/>
    <w:basedOn w:val="Normal"/>
    <w:link w:val="Style_3_ch"/>
    <w:pPr>
      <w:spacing w:before="0" w:after="120"/>
    </w:pPr>
    <w:rPr/>
  </w:style>
  <w:style w:type="paragraph" w:styleId="Style26">
    <w:name w:val="List"/>
    <w:basedOn w:val="Style25"/>
    <w:link w:val="Style_21_ch"/>
    <w:pPr/>
    <w:rPr/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8">
    <w:name w:val="Указатель"/>
    <w:basedOn w:val="Normal"/>
    <w:link w:val="Style_40_ch"/>
    <w:qFormat/>
    <w:pPr/>
    <w:rPr/>
  </w:style>
  <w:style w:type="paragraph" w:styleId="21">
    <w:name w:val="TOC 2"/>
    <w:next w:val="Normal"/>
    <w:link w:val="Style_5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6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z71">
    <w:name w:val="WW8Num2z7"/>
    <w:link w:val="Style_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01">
    <w:name w:val="WW8Num2z0"/>
    <w:link w:val="Style_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4"/>
      <w:szCs w:val="20"/>
      <w:lang w:val="ru-RU" w:eastAsia="zh-CN" w:bidi="hi-IN"/>
    </w:rPr>
  </w:style>
  <w:style w:type="paragraph" w:styleId="6">
    <w:name w:val="TOC 6"/>
    <w:next w:val="Normal"/>
    <w:link w:val="Style_9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10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9">
    <w:name w:val="Текст выноски"/>
    <w:basedOn w:val="Normal"/>
    <w:link w:val="Style_11_ch"/>
    <w:qFormat/>
    <w:pPr/>
    <w:rPr>
      <w:rFonts w:ascii="Tahoma" w:hAnsi="Tahoma"/>
      <w:sz w:val="16"/>
    </w:rPr>
  </w:style>
  <w:style w:type="paragraph" w:styleId="12">
    <w:name w:val="Название1"/>
    <w:basedOn w:val="Normal"/>
    <w:link w:val="Style_12_ch"/>
    <w:qFormat/>
    <w:pPr>
      <w:spacing w:before="120" w:after="120"/>
    </w:pPr>
    <w:rPr>
      <w:i/>
      <w:sz w:val="24"/>
    </w:rPr>
  </w:style>
  <w:style w:type="paragraph" w:styleId="WW8Num2z11">
    <w:name w:val="WW8Num2z1"/>
    <w:link w:val="Style_1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4"/>
      <w:szCs w:val="20"/>
      <w:lang w:val="ru-RU" w:eastAsia="zh-CN" w:bidi="hi-IN"/>
    </w:rPr>
  </w:style>
  <w:style w:type="paragraph" w:styleId="WW1">
    <w:name w:val="WW-Символы концевой сноски"/>
    <w:link w:val="Style_1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4"/>
      <w:szCs w:val="20"/>
      <w:lang w:val="ru-RU" w:eastAsia="zh-CN" w:bidi="hi-IN"/>
    </w:rPr>
  </w:style>
  <w:style w:type="paragraph" w:styleId="EndnoteCharacters1">
    <w:name w:val="Endnote Characters"/>
    <w:link w:val="Style_1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4"/>
      <w:szCs w:val="20"/>
      <w:vertAlign w:val="superscript"/>
      <w:lang w:val="ru-RU" w:eastAsia="zh-CN" w:bidi="hi-IN"/>
    </w:rPr>
  </w:style>
  <w:style w:type="paragraph" w:styleId="DefaultParagraphFont1">
    <w:name w:val="Default Paragraph Font"/>
    <w:link w:val="Style_1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4"/>
      <w:szCs w:val="20"/>
      <w:lang w:val="ru-RU" w:eastAsia="zh-CN" w:bidi="hi-IN"/>
    </w:rPr>
  </w:style>
  <w:style w:type="paragraph" w:styleId="AbsatzStandardschriftart1">
    <w:name w:val="Absatz-Standardschriftart"/>
    <w:link w:val="Style_1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30">
    <w:name w:val="Символы концевой сноски"/>
    <w:link w:val="Style_1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4"/>
      <w:szCs w:val="20"/>
      <w:vertAlign w:val="superscript"/>
      <w:lang w:val="ru-RU" w:eastAsia="zh-CN" w:bidi="hi-IN"/>
    </w:rPr>
  </w:style>
  <w:style w:type="paragraph" w:styleId="WW8Num1z01">
    <w:name w:val="WW8Num1z0"/>
    <w:link w:val="Style_2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3"/>
      <w:szCs w:val="20"/>
      <w:lang w:val="ru-RU" w:eastAsia="zh-CN" w:bidi="hi-IN"/>
    </w:rPr>
  </w:style>
  <w:style w:type="paragraph" w:styleId="WW8Num2z21">
    <w:name w:val="WW8Num2z2"/>
    <w:link w:val="Style_2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31">
    <w:name w:val="Верхний и нижний колонтитулы"/>
    <w:link w:val="Style_39_ch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Droid Sans Fallback" w:cs="DejaVu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2">
    <w:name w:val="Header"/>
    <w:basedOn w:val="Normal"/>
    <w:link w:val="Style_23_ch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WW8Num2z61">
    <w:name w:val="WW8Num2z6"/>
    <w:link w:val="Style_2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81">
    <w:name w:val="WW8Num2z8"/>
    <w:link w:val="Style_2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4"/>
      <w:szCs w:val="20"/>
      <w:lang w:val="ru-RU" w:eastAsia="zh-CN" w:bidi="hi-IN"/>
    </w:rPr>
  </w:style>
  <w:style w:type="paragraph" w:styleId="31">
    <w:name w:val="TOC 3"/>
    <w:next w:val="Normal"/>
    <w:link w:val="Style_27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z51">
    <w:name w:val="WW8Num2z5"/>
    <w:link w:val="Style_2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4"/>
      <w:szCs w:val="20"/>
      <w:lang w:val="ru-RU" w:eastAsia="zh-CN" w:bidi="hi-IN"/>
    </w:rPr>
  </w:style>
  <w:style w:type="paragraph" w:styleId="Caption1">
    <w:name w:val="caption"/>
    <w:basedOn w:val="Normal"/>
    <w:link w:val="Style_29_ch"/>
    <w:qFormat/>
    <w:pPr>
      <w:spacing w:before="120" w:after="120"/>
    </w:pPr>
    <w:rPr>
      <w:i/>
      <w:sz w:val="24"/>
    </w:rPr>
  </w:style>
  <w:style w:type="paragraph" w:styleId="Style33">
    <w:name w:val="Знак сноски"/>
    <w:link w:val="Style_3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4"/>
      <w:szCs w:val="20"/>
      <w:vertAlign w:val="superscript"/>
      <w:lang w:val="ru-RU" w:eastAsia="zh-CN" w:bidi="hi-IN"/>
    </w:rPr>
  </w:style>
  <w:style w:type="paragraph" w:styleId="Internetlink">
    <w:name w:val="Internet link"/>
    <w:link w:val="Style_3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basedOn w:val="Normal"/>
    <w:link w:val="Style_34_ch"/>
    <w:qFormat/>
    <w:pPr>
      <w:ind w:left="283" w:right="0" w:hanging="283"/>
    </w:pPr>
    <w:rPr>
      <w:sz w:val="20"/>
    </w:rPr>
  </w:style>
  <w:style w:type="paragraph" w:styleId="Style34">
    <w:name w:val="Footer"/>
    <w:basedOn w:val="Normal"/>
    <w:link w:val="Style_35_ch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5">
    <w:name w:val="Содержимое таблицы"/>
    <w:basedOn w:val="Normal"/>
    <w:link w:val="Style_36_ch"/>
    <w:qFormat/>
    <w:pPr/>
    <w:rPr/>
  </w:style>
  <w:style w:type="paragraph" w:styleId="13">
    <w:name w:val="TOC 1"/>
    <w:next w:val="Normal"/>
    <w:link w:val="Style_37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ejaVu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36">
    <w:name w:val="Символ сноски"/>
    <w:link w:val="Style_3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4"/>
      <w:szCs w:val="20"/>
      <w:lang w:val="ru-RU" w:eastAsia="zh-CN" w:bidi="hi-IN"/>
    </w:rPr>
  </w:style>
  <w:style w:type="paragraph" w:styleId="9">
    <w:name w:val="TOC 9"/>
    <w:next w:val="Normal"/>
    <w:link w:val="Style_41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7">
    <w:name w:val="Знак концевой сноски"/>
    <w:link w:val="Style_4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4"/>
      <w:szCs w:val="20"/>
      <w:vertAlign w:val="superscript"/>
      <w:lang w:val="ru-RU" w:eastAsia="zh-CN" w:bidi="hi-IN"/>
    </w:rPr>
  </w:style>
  <w:style w:type="paragraph" w:styleId="8">
    <w:name w:val="TOC 8"/>
    <w:next w:val="Normal"/>
    <w:link w:val="Style_43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z41">
    <w:name w:val="WW8Num2z4"/>
    <w:link w:val="Style_4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31">
    <w:name w:val="WW8Num2z3"/>
    <w:link w:val="Style_4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4"/>
      <w:szCs w:val="20"/>
      <w:lang w:val="ru-RU" w:eastAsia="zh-CN" w:bidi="hi-IN"/>
    </w:rPr>
  </w:style>
  <w:style w:type="paragraph" w:styleId="Pagenumber1">
    <w:name w:val="page number"/>
    <w:basedOn w:val="Style40"/>
    <w:link w:val="Style_46_ch"/>
    <w:qFormat/>
    <w:pPr/>
    <w:rPr/>
  </w:style>
  <w:style w:type="paragraph" w:styleId="Style38">
    <w:name w:val="Заголовок таблицы"/>
    <w:basedOn w:val="Style35"/>
    <w:link w:val="Style_48_ch"/>
    <w:qFormat/>
    <w:pPr>
      <w:jc w:val="center"/>
    </w:pPr>
    <w:rPr>
      <w:b/>
    </w:rPr>
  </w:style>
  <w:style w:type="paragraph" w:styleId="FootnoteCharacters1">
    <w:name w:val="Footnote Characters"/>
    <w:link w:val="Style_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4"/>
      <w:szCs w:val="20"/>
      <w:vertAlign w:val="superscript"/>
      <w:lang w:val="ru-RU" w:eastAsia="zh-CN" w:bidi="hi-IN"/>
    </w:rPr>
  </w:style>
  <w:style w:type="paragraph" w:styleId="Style39">
    <w:name w:val="Основной шрифт"/>
    <w:link w:val="Style_4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4"/>
      <w:szCs w:val="20"/>
      <w:lang w:val="ru-RU" w:eastAsia="zh-CN" w:bidi="hi-IN"/>
    </w:rPr>
  </w:style>
  <w:style w:type="paragraph" w:styleId="51">
    <w:name w:val="TOC 5"/>
    <w:next w:val="Normal"/>
    <w:link w:val="Style_50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40">
    <w:name w:val="Основной шрифт абзаца"/>
    <w:link w:val="Style_4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41">
    <w:name w:val="Subtitle"/>
    <w:next w:val="Normal"/>
    <w:link w:val="Style_51_ch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Droid Sans Fallback" w:cs="DejaVu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42">
    <w:name w:val="Символ концевой сноски"/>
    <w:link w:val="Style_5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4"/>
      <w:szCs w:val="20"/>
      <w:vertAlign w:val="superscript"/>
      <w:lang w:val="ru-RU" w:eastAsia="zh-CN" w:bidi="hi-IN"/>
    </w:rPr>
  </w:style>
  <w:style w:type="paragraph" w:styleId="Style43">
    <w:name w:val="Title"/>
    <w:next w:val="Normal"/>
    <w:link w:val="Style_53_ch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Droid Sans Fallback" w:cs="DejaVu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44">
    <w:name w:val="Footnote Text"/>
    <w:basedOn w:val="Normal"/>
    <w:pPr/>
    <w:rPr/>
  </w:style>
  <w:style w:type="table" w:default="1" w:styleId="Style_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LibreOffice/6.3.6.2$Linux_X86_64 LibreOffice_project/30$Build-2</Application>
  <Pages>3</Pages>
  <Words>664</Words>
  <Characters>4670</Characters>
  <CharactersWithSpaces>5254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2023-01-19T18:54:21Z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