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125" w:right="0" w:hanging="0"/>
        <w:jc w:val="center"/>
        <w:rPr>
          <w:b/>
          <w:b/>
          <w:sz w:val="26"/>
        </w:rPr>
      </w:pPr>
      <w:bookmarkStart w:id="0" w:name="_GoBack"/>
      <w:r>
        <w:rPr>
          <w:b/>
          <w:color w:val="000000"/>
          <w:spacing w:val="-5"/>
          <w:sz w:val="30"/>
        </w:rPr>
        <w:t>Паспорт инвестиционной иде</w:t>
      </w:r>
      <w:bookmarkEnd w:id="0"/>
      <w:r>
        <w:rPr>
          <w:b/>
          <w:color w:val="000000"/>
          <w:spacing w:val="-5"/>
          <w:sz w:val="30"/>
        </w:rPr>
        <w:t>и</w:t>
      </w:r>
      <w:r>
        <w:rPr>
          <w:rStyle w:val="Style16"/>
          <w:b/>
          <w:color w:val="000000"/>
          <w:spacing w:val="-5"/>
          <w:sz w:val="30"/>
        </w:rPr>
        <w:footnoteReference w:id="2"/>
      </w:r>
    </w:p>
    <w:p>
      <w:pPr>
        <w:pStyle w:val="Normal"/>
        <w:widowControl w:val="false"/>
        <w:ind w:left="139" w:right="0" w:hanging="0"/>
        <w:jc w:val="center"/>
        <w:rPr/>
      </w:pPr>
      <w:r>
        <w:rPr>
          <w:b/>
          <w:sz w:val="26"/>
        </w:rPr>
        <w:t>Строительство детского санаторно-оздоровительного центра круглогодичного действия в селе Эссо Быстринского района</w:t>
      </w:r>
      <w:r>
        <w:rPr>
          <w:rStyle w:val="Style16"/>
          <w:b/>
          <w:sz w:val="26"/>
        </w:rPr>
        <w:footnoteReference w:id="3"/>
      </w:r>
    </w:p>
    <w:p>
      <w:pPr>
        <w:pStyle w:val="Normal"/>
        <w:widowControl w:val="false"/>
        <w:ind w:left="139" w:right="0" w:hanging="0"/>
        <w:jc w:val="center"/>
        <w:rPr/>
      </w:pPr>
      <w:r>
        <w:rPr/>
      </w:r>
    </w:p>
    <w:p>
      <w:pPr>
        <w:pStyle w:val="Normal"/>
        <w:widowControl w:val="false"/>
        <w:ind w:left="139" w:right="0" w:hanging="0"/>
        <w:jc w:val="center"/>
        <w:rPr/>
      </w:pPr>
      <w:r>
        <w:rPr/>
      </w:r>
    </w:p>
    <w:tbl>
      <w:tblPr>
        <w:tblStyle w:val="Style_2"/>
        <w:tblW w:w="9598" w:type="dxa"/>
        <w:jc w:val="left"/>
        <w:tblInd w:w="40" w:type="dxa"/>
        <w:tblCellMar>
          <w:top w:w="0" w:type="dxa"/>
          <w:left w:w="40" w:type="dxa"/>
          <w:bottom w:w="0" w:type="dxa"/>
          <w:right w:w="40" w:type="dxa"/>
        </w:tblCellMar>
      </w:tblPr>
      <w:tblGrid>
        <w:gridCol w:w="4421"/>
        <w:gridCol w:w="5176"/>
      </w:tblGrid>
      <w:tr>
        <w:trPr>
          <w:trHeight w:val="3120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5080</wp:posOffset>
                  </wp:positionV>
                  <wp:extent cx="2527300" cy="1922145"/>
                  <wp:effectExtent l="0" t="0" r="0" b="0"/>
                  <wp:wrapSquare wrapText="bothSides"/>
                  <wp:docPr id="1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10" t="-15" r="29749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92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0" w:right="5" w:hanging="0"/>
              <w:jc w:val="center"/>
              <w:rPr/>
            </w:pPr>
            <w:r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135255</wp:posOffset>
                  </wp:positionV>
                  <wp:extent cx="2693670" cy="1677670"/>
                  <wp:effectExtent l="0" t="0" r="0" b="0"/>
                  <wp:wrapSquare wrapText="bothSides"/>
                  <wp:docPr id="2" name="Picture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-12" t="-23" r="-12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70" cy="167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/>
              <w:t xml:space="preserve"> </w:t>
            </w:r>
            <w:r>
              <w:rPr/>
              <w:t xml:space="preserve"> </w:t>
            </w:r>
          </w:p>
          <w:p>
            <w:pPr>
              <w:pStyle w:val="Normal"/>
              <w:ind w:left="0" w:right="5" w:hanging="0"/>
              <w:jc w:val="center"/>
              <w:rPr/>
            </w:pPr>
            <w:r>
              <w:rPr/>
            </w:r>
          </w:p>
        </w:tc>
      </w:tr>
      <w:tr>
        <w:trPr>
          <w:trHeight w:val="495" w:hRule="exact"/>
        </w:trPr>
        <w:tc>
          <w:tcPr>
            <w:tcW w:w="4421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>
                <w:color w:val="000000"/>
                <w:sz w:val="24"/>
              </w:rPr>
              <w:t>Наименование предприятия (инициатор)</w:t>
            </w:r>
          </w:p>
        </w:tc>
        <w:tc>
          <w:tcPr>
            <w:tcW w:w="51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 xml:space="preserve">Администрация </w:t>
            </w:r>
          </w:p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>Быстринского муниципального района</w:t>
            </w:r>
          </w:p>
        </w:tc>
      </w:tr>
      <w:tr>
        <w:trPr>
          <w:trHeight w:val="404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10" w:right="0" w:hanging="0"/>
              <w:rPr/>
            </w:pPr>
            <w:r>
              <w:rPr>
                <w:color w:val="000000"/>
                <w:spacing w:val="-2"/>
                <w:sz w:val="24"/>
              </w:rPr>
              <w:t>Организационно-правовая форма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 xml:space="preserve">Муниципальное бюджетное учреждение </w:t>
            </w:r>
          </w:p>
        </w:tc>
      </w:tr>
      <w:tr>
        <w:trPr>
          <w:trHeight w:val="519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5" w:right="0" w:hanging="0"/>
              <w:rPr/>
            </w:pPr>
            <w:r>
              <w:rPr>
                <w:color w:val="000000"/>
                <w:sz w:val="24"/>
              </w:rPr>
              <w:t>Адрес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 xml:space="preserve">684350, Быстринский район, с.Эссо,  </w:t>
            </w:r>
          </w:p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>ул. Терешковой 1</w:t>
            </w:r>
          </w:p>
        </w:tc>
      </w:tr>
      <w:tr>
        <w:trPr>
          <w:trHeight w:val="283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ind w:left="10" w:right="0" w:hanging="0"/>
              <w:rPr/>
            </w:pPr>
            <w:r>
              <w:rPr>
                <w:color w:val="000000"/>
                <w:sz w:val="24"/>
              </w:rPr>
              <w:t>Телефон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>8 (415-42) 21-310</w:t>
            </w:r>
          </w:p>
        </w:tc>
      </w:tr>
      <w:tr>
        <w:trPr>
          <w:trHeight w:val="288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ind w:left="10" w:right="0" w:hanging="0"/>
              <w:rPr/>
            </w:pPr>
            <w:r>
              <w:rPr>
                <w:color w:val="000000"/>
                <w:sz w:val="24"/>
              </w:rPr>
              <w:t>Факс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>8 (415-42) 21-330</w:t>
            </w:r>
          </w:p>
        </w:tc>
      </w:tr>
      <w:tr>
        <w:trPr>
          <w:trHeight w:val="283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ind w:left="5" w:right="0" w:hanging="0"/>
              <w:rPr/>
            </w:pPr>
            <w:r>
              <w:rPr>
                <w:color w:val="000000"/>
                <w:sz w:val="24"/>
              </w:rPr>
              <w:t>Эл. почта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>admesso@yandex.ru</w:t>
            </w:r>
          </w:p>
        </w:tc>
      </w:tr>
      <w:tr>
        <w:trPr>
          <w:trHeight w:val="562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10" w:right="0" w:hanging="0"/>
              <w:rPr/>
            </w:pPr>
            <w:r>
              <w:rPr>
                <w:color w:val="000000"/>
                <w:sz w:val="24"/>
              </w:rPr>
              <w:t>ОКВЭД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>Деятельность органов местного самоуправления муниципальных районов</w:t>
            </w:r>
          </w:p>
        </w:tc>
      </w:tr>
      <w:tr>
        <w:trPr>
          <w:trHeight w:val="435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10" w:right="0" w:hanging="0"/>
              <w:rPr/>
            </w:pPr>
            <w:r>
              <w:rPr>
                <w:color w:val="000000"/>
                <w:sz w:val="24"/>
              </w:rPr>
              <w:t>Основные акционеры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>Органы местного самоуправления</w:t>
            </w:r>
          </w:p>
        </w:tc>
      </w:tr>
      <w:tr>
        <w:trPr>
          <w:trHeight w:val="803" w:hRule="exact"/>
        </w:trPr>
        <w:tc>
          <w:tcPr>
            <w:tcW w:w="4421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>
                <w:color w:val="000000"/>
                <w:sz w:val="24"/>
              </w:rPr>
              <w:t>Руководитель</w:t>
            </w:r>
          </w:p>
        </w:tc>
        <w:tc>
          <w:tcPr>
            <w:tcW w:w="51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0" w:right="5" w:hanging="0"/>
              <w:rPr/>
            </w:pPr>
            <w:r>
              <w:rPr>
                <w:sz w:val="22"/>
              </w:rPr>
              <w:t>Глава  Быстринского муниципального района Вьюнов Анатолий Владимирович</w:t>
            </w:r>
          </w:p>
        </w:tc>
      </w:tr>
      <w:tr>
        <w:trPr>
          <w:trHeight w:val="454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>
                <w:color w:val="000000"/>
                <w:sz w:val="24"/>
              </w:rPr>
              <w:t>Численность работающих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>48 человек</w:t>
            </w:r>
          </w:p>
        </w:tc>
      </w:tr>
      <w:tr>
        <w:trPr>
          <w:trHeight w:val="556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>
                <w:color w:val="000000"/>
                <w:spacing w:val="-2"/>
                <w:sz w:val="24"/>
              </w:rPr>
              <w:t>Основные виды выпускаемой продукции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>Оказание услуг</w:t>
            </w:r>
          </w:p>
        </w:tc>
      </w:tr>
      <w:tr>
        <w:trPr>
          <w:trHeight w:val="2114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5" w:right="158" w:firstLine="5"/>
              <w:rPr/>
            </w:pPr>
            <w:r>
              <w:rPr>
                <w:color w:val="000000"/>
                <w:sz w:val="24"/>
              </w:rPr>
              <w:t xml:space="preserve">Основные потребители (в т. ч. доля </w:t>
            </w:r>
            <w:r>
              <w:rPr>
                <w:color w:val="000000"/>
                <w:spacing w:val="-3"/>
                <w:sz w:val="24"/>
              </w:rPr>
              <w:t xml:space="preserve">потребителей на внешнем и внутреннем </w:t>
            </w:r>
            <w:r>
              <w:rPr>
                <w:color w:val="000000"/>
                <w:sz w:val="24"/>
              </w:rPr>
              <w:t>рынках)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tabs>
                <w:tab w:val="clear" w:pos="709"/>
                <w:tab w:val="left" w:pos="4665" w:leader="none"/>
                <w:tab w:val="left" w:pos="5235" w:leader="none"/>
              </w:tabs>
              <w:ind w:left="0" w:right="5" w:hanging="0"/>
              <w:rPr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- Туристы любого достатка и возраста, ориентированные на экологический туризм, оздоровительный отдых;</w:t>
            </w:r>
          </w:p>
          <w:p>
            <w:pPr>
              <w:pStyle w:val="Normal"/>
              <w:tabs>
                <w:tab w:val="clear" w:pos="709"/>
                <w:tab w:val="left" w:pos="4665" w:leader="none"/>
                <w:tab w:val="left" w:pos="5235" w:leader="none"/>
              </w:tabs>
              <w:ind w:left="0" w:right="5" w:hanging="0"/>
              <w:rPr/>
            </w:pPr>
            <w:r>
              <w:rPr>
                <w:sz w:val="22"/>
              </w:rPr>
              <w:t>- дети с семьями, школьники России, Дальнего Востока и Камчатского края, местные жители;</w:t>
            </w:r>
          </w:p>
          <w:p>
            <w:pPr>
              <w:pStyle w:val="Normal"/>
              <w:tabs>
                <w:tab w:val="clear" w:pos="709"/>
                <w:tab w:val="left" w:pos="4665" w:leader="none"/>
                <w:tab w:val="left" w:pos="5235" w:leader="none"/>
              </w:tabs>
              <w:ind w:left="0" w:right="5" w:hanging="0"/>
              <w:rPr/>
            </w:pPr>
            <w:r>
              <w:rPr>
                <w:sz w:val="22"/>
              </w:rPr>
              <w:t>- льготная категория граждан за счет средств федерального и краевого бюджета.</w:t>
            </w:r>
          </w:p>
        </w:tc>
      </w:tr>
      <w:tr>
        <w:trPr>
          <w:trHeight w:val="3963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365" w:right="5" w:hanging="0"/>
              <w:rPr/>
            </w:pPr>
            <w:r>
              <w:rPr>
                <w:color w:val="000000"/>
                <w:sz w:val="24"/>
              </w:rPr>
              <w:t>Бизнес-идея (цель)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widowControl w:val="false"/>
              <w:numPr>
                <w:ilvl w:val="0"/>
                <w:numId w:val="2"/>
              </w:numPr>
              <w:tabs>
                <w:tab w:val="clear" w:pos="709"/>
                <w:tab w:val="left" w:pos="612" w:leader="none"/>
              </w:tabs>
              <w:ind w:left="0" w:right="0" w:firstLine="252"/>
              <w:rPr/>
            </w:pPr>
            <w:r>
              <w:rPr>
                <w:sz w:val="22"/>
              </w:rPr>
              <w:t>Создание нового санаторного учреждения, уникального для Камчатки. Оздоровление детей Камчатского края с частыми простудными заболеваниями, тубинфицированных, с заболеваниями желудочно – кишечного тракта, кожи, опорно-двигательного аппарата, сердечно-сосудистой системы. Предотвращение развития острых и хронических заболеваний у детей и молодежи; реабилитационные программы. Проект  является составной частью  создания и развития туристско-рекреационного кластера в с. Эссо вместе с “Аквапарком”, “Бальнеоклиматическим курортом”.  Данные объекты рассматриваются в совокупности с проектом развития «Горнолыжного комплекса «Оленгендэ».</w:t>
            </w:r>
          </w:p>
        </w:tc>
      </w:tr>
      <w:tr>
        <w:trPr>
          <w:trHeight w:val="4350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0" w:right="427" w:hanging="0"/>
              <w:rPr/>
            </w:pPr>
            <w:r>
              <w:rPr>
                <w:color w:val="000000"/>
                <w:spacing w:val="-2"/>
                <w:sz w:val="24"/>
              </w:rPr>
              <w:t>Вид экономической деятельности</w:t>
            </w:r>
          </w:p>
          <w:p>
            <w:pPr>
              <w:pStyle w:val="Normal"/>
              <w:ind w:left="0" w:right="427" w:hanging="0"/>
              <w:rPr/>
            </w:pPr>
            <w:r>
              <w:rPr>
                <w:color w:val="000000"/>
                <w:spacing w:val="-2"/>
                <w:sz w:val="24"/>
              </w:rPr>
              <w:t xml:space="preserve">(по </w:t>
            </w:r>
            <w:r>
              <w:rPr>
                <w:color w:val="000000"/>
                <w:sz w:val="24"/>
              </w:rPr>
              <w:t>ОКВЭД)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>85.11.2 Деятельность санаторно - курортных учреждений/ Эта группировка включает:</w:t>
            </w:r>
          </w:p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 xml:space="preserve"> — </w:t>
            </w:r>
            <w:r>
              <w:rPr>
                <w:sz w:val="22"/>
              </w:rPr>
              <w:t>санаторно-курортную деятельность, связанную с проведением лечения, профилактики и оздоровительных мероприятий на базе лечебно- профилактических учреждений (санаториев, курортов, профилакториев, пансионатов с лечением, санаториев- профилакториев, бальнеологических лечебниц, грязелечебниц, детских санаториев, санаториев для детей с родителями, санаторно-оздоровительных лагерей круглогодичного действия и т.п.)</w:t>
            </w:r>
          </w:p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 xml:space="preserve"> — </w:t>
            </w:r>
            <w:r>
              <w:rPr>
                <w:sz w:val="22"/>
              </w:rPr>
              <w:t>обеспечение условий пребывания в санаторно-курортных учреждениях (проживания, питания и т. п.).</w:t>
            </w:r>
          </w:p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>63.30.1 - Организация комплексного туристического обслуживания.</w:t>
            </w:r>
          </w:p>
        </w:tc>
      </w:tr>
      <w:tr>
        <w:trPr>
          <w:trHeight w:val="765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50" w:right="50" w:firstLine="5"/>
              <w:rPr/>
            </w:pPr>
            <w:r>
              <w:rPr>
                <w:color w:val="000000"/>
                <w:spacing w:val="-3"/>
                <w:sz w:val="24"/>
              </w:rPr>
              <w:t>Ответственные исполнители (ФИО, должность, тел., эл. почта)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0" w:right="5" w:hanging="0"/>
              <w:rPr/>
            </w:pPr>
            <w:r>
              <w:rPr>
                <w:sz w:val="22"/>
              </w:rPr>
              <w:t xml:space="preserve">Чумаков Константин Владимирович, специалист по привлечению инвестиций и планированию; </w:t>
            </w:r>
          </w:p>
          <w:p>
            <w:pPr>
              <w:pStyle w:val="Normal"/>
              <w:ind w:left="0" w:right="5" w:hanging="0"/>
              <w:rPr/>
            </w:pPr>
            <w:r>
              <w:rPr>
                <w:sz w:val="22"/>
              </w:rPr>
              <w:t>тел.: 8 (415 42) 21-110. E-mail: essodev@yandex.ru</w:t>
            </w:r>
          </w:p>
        </w:tc>
      </w:tr>
      <w:tr>
        <w:trPr>
          <w:trHeight w:val="572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rPr/>
            </w:pPr>
            <w:r>
              <w:rPr>
                <w:color w:val="000000"/>
                <w:sz w:val="24"/>
              </w:rPr>
              <w:t>Год разработки идеи</w:t>
            </w:r>
            <w:r>
              <w:rPr>
                <w:color w:val="000000"/>
                <w:spacing w:val="-3"/>
                <w:sz w:val="24"/>
              </w:rPr>
              <w:t xml:space="preserve"> 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>2005 г.</w:t>
            </w:r>
          </w:p>
        </w:tc>
      </w:tr>
      <w:tr>
        <w:trPr>
          <w:trHeight w:val="5340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0" w:right="221" w:hanging="0"/>
              <w:rPr/>
            </w:pPr>
            <w:r>
              <w:rPr/>
            </w:r>
          </w:p>
          <w:p>
            <w:pPr>
              <w:pStyle w:val="Normal"/>
              <w:ind w:left="0" w:right="221" w:hanging="0"/>
              <w:rPr/>
            </w:pPr>
            <w:r>
              <w:rPr/>
            </w:r>
          </w:p>
          <w:p>
            <w:pPr>
              <w:pStyle w:val="Normal"/>
              <w:ind w:left="0" w:right="221" w:hanging="0"/>
              <w:rPr/>
            </w:pPr>
            <w:r>
              <w:rPr>
                <w:color w:val="000000"/>
                <w:sz w:val="24"/>
              </w:rPr>
              <w:t xml:space="preserve">Краткая характеристика региона, в </w:t>
            </w:r>
            <w:r>
              <w:rPr>
                <w:color w:val="000000"/>
                <w:spacing w:val="-2"/>
                <w:sz w:val="24"/>
              </w:rPr>
              <w:t xml:space="preserve">котором предполагается реализовывать </w:t>
            </w:r>
            <w:r>
              <w:rPr>
                <w:color w:val="000000"/>
                <w:sz w:val="24"/>
              </w:rPr>
              <w:t>идею</w:t>
            </w:r>
          </w:p>
          <w:p>
            <w:pPr>
              <w:pStyle w:val="Normal"/>
              <w:ind w:left="0" w:right="221" w:hanging="0"/>
              <w:rPr/>
            </w:pPr>
            <w:r>
              <w:rPr/>
            </w:r>
          </w:p>
          <w:p>
            <w:pPr>
              <w:pStyle w:val="Normal"/>
              <w:ind w:left="0" w:right="221" w:hanging="0"/>
              <w:rPr/>
            </w:pPr>
            <w:r>
              <w:rPr/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23495</wp:posOffset>
                  </wp:positionV>
                  <wp:extent cx="2526665" cy="1926590"/>
                  <wp:effectExtent l="0" t="0" r="0" b="0"/>
                  <wp:wrapSquare wrapText="bothSides"/>
                  <wp:docPr id="3" name="Picture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-13" t="-19" r="36542" b="-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66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ind w:left="0" w:right="221" w:hanging="0"/>
              <w:rPr/>
            </w:pPr>
            <w:r>
              <w:rPr/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>Быстринский район расположен в центральной части Камчатского полуострова между 54° 38'' и 56° 42'' северной широты и 156°08'' – 159° 42'' восточной долготы (от Гринвича). Село Эссо – районный центр, его территория относится к местностям с достаточным для рекреации климатокурортологическим потенциалом, располагает большим разнообразием уникальных ландшафтно-климатических природных факторов. Живописные окрестности месторождения термальных минеральных вод и природного парка «Быстринский» с ландшафтными, геологическими и др. памятниками природы могут широко применяться в целях рационального использования бальнеологических, туристических ресурсов. Изобилие еловых пород деревьев и кустарников (лиственница, ель, сосна, кедровый стланник, можжевельник) экологически чистой горной долины идеально подходят для лечения заболеваний верхних дыхательных путей, которыми особенно часто и длительно болеют дети Севера.</w:t>
            </w:r>
          </w:p>
        </w:tc>
      </w:tr>
      <w:tr>
        <w:trPr>
          <w:trHeight w:val="678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10" w:right="0" w:hanging="0"/>
              <w:rPr/>
            </w:pPr>
            <w:r>
              <w:rPr>
                <w:color w:val="000000"/>
                <w:sz w:val="24"/>
              </w:rPr>
              <w:t>Отраслевая принадлежность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>Здравоохранение и предоставление социальных услуг (курортология, бальнеология), туризм</w:t>
            </w:r>
          </w:p>
        </w:tc>
      </w:tr>
      <w:tr>
        <w:trPr>
          <w:trHeight w:val="10034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0" w:right="53" w:hanging="0"/>
              <w:rPr/>
            </w:pPr>
            <w:r>
              <w:rPr/>
            </w:r>
          </w:p>
          <w:p>
            <w:pPr>
              <w:pStyle w:val="Normal"/>
              <w:ind w:left="0" w:right="53" w:hanging="0"/>
              <w:rPr/>
            </w:pPr>
            <w:r>
              <w:rPr/>
            </w:r>
          </w:p>
          <w:p>
            <w:pPr>
              <w:pStyle w:val="Normal"/>
              <w:ind w:left="0" w:right="53" w:hanging="0"/>
              <w:rPr/>
            </w:pPr>
            <w:r>
              <w:rPr/>
            </w:r>
          </w:p>
          <w:p>
            <w:pPr>
              <w:pStyle w:val="Normal"/>
              <w:ind w:left="0" w:right="53" w:hanging="0"/>
              <w:rPr/>
            </w:pPr>
            <w:r>
              <w:rPr/>
            </w:r>
          </w:p>
          <w:p>
            <w:pPr>
              <w:pStyle w:val="Normal"/>
              <w:ind w:left="0" w:right="53" w:hanging="0"/>
              <w:rPr/>
            </w:pPr>
            <w:r>
              <w:rPr/>
            </w:r>
          </w:p>
          <w:p>
            <w:pPr>
              <w:pStyle w:val="Normal"/>
              <w:ind w:left="0" w:right="53" w:hanging="0"/>
              <w:rPr/>
            </w:pPr>
            <w:r>
              <w:rPr/>
            </w:r>
          </w:p>
          <w:p>
            <w:pPr>
              <w:pStyle w:val="Normal"/>
              <w:ind w:left="0" w:right="53" w:hanging="0"/>
              <w:rPr/>
            </w:pPr>
            <w:r>
              <w:rPr>
                <w:color w:val="000000"/>
                <w:spacing w:val="-2"/>
                <w:sz w:val="24"/>
              </w:rPr>
              <w:t xml:space="preserve">Наличие ресурсов и инфраструктуры для </w:t>
            </w:r>
            <w:r>
              <w:rPr>
                <w:color w:val="000000"/>
                <w:sz w:val="24"/>
              </w:rPr>
              <w:t>реализации идеи</w:t>
            </w:r>
          </w:p>
          <w:p>
            <w:pPr>
              <w:pStyle w:val="Normal"/>
              <w:ind w:left="0" w:right="53" w:hanging="0"/>
              <w:rPr/>
            </w:pPr>
            <w:r>
              <w:rPr/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536575</wp:posOffset>
                  </wp:positionV>
                  <wp:extent cx="2780665" cy="1325880"/>
                  <wp:effectExtent l="0" t="0" r="0" b="0"/>
                  <wp:wrapSquare wrapText="bothSides"/>
                  <wp:docPr id="4" name="Picture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-21" t="-43" r="-21" b="-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65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numPr>
                <w:ilvl w:val="0"/>
                <w:numId w:val="2"/>
              </w:numPr>
              <w:tabs>
                <w:tab w:val="clear" w:pos="709"/>
                <w:tab w:val="left" w:pos="612" w:leader="none"/>
              </w:tabs>
              <w:ind w:left="0" w:right="0" w:firstLine="252"/>
              <w:rPr/>
            </w:pPr>
            <w:r>
              <w:rPr>
                <w:sz w:val="22"/>
              </w:rPr>
              <w:t>Наиболее благоприятно с точки зрения реабилитации, оздоровления и организации санаторно-курортного лечения в Быстринском районе можно оценить наличие в Эссо термальных источников, которые способствуют развитию бальнеологии с использованием минеральных ванн и грязелечения.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09"/>
                <w:tab w:val="left" w:pos="612" w:leader="none"/>
              </w:tabs>
              <w:ind w:left="0" w:right="0" w:firstLine="252"/>
              <w:rPr/>
            </w:pPr>
            <w:r>
              <w:rPr>
                <w:sz w:val="22"/>
              </w:rPr>
              <w:t>Согласно заключению ГУ «Томского научно-исследовательского института курортологии и физеотерапии» МЗ РФ, минеральные источники селения Эссо могут использоваться для эффективного лечения всех видов подострых и хронических заболеваний опорно-двигательного аппарата, сердечно-сосудистой, центральной и периферической нервной систем, органов пищеварения, печени и желчевыводящих путей, болезней обмена веществ.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09"/>
                <w:tab w:val="left" w:pos="612" w:leader="none"/>
              </w:tabs>
              <w:ind w:left="0" w:right="0" w:firstLine="252"/>
              <w:rPr/>
            </w:pPr>
            <w:r>
              <w:rPr>
                <w:sz w:val="22"/>
              </w:rPr>
              <w:t>Вода термальных источников Быстринского района, в частности села Эссо, успешно применяется при лечении хронических гастритов с секретной недостаточностью, хронических колитов, хронических заболеваний печени.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09"/>
                <w:tab w:val="left" w:pos="612" w:leader="none"/>
              </w:tabs>
              <w:ind w:left="0" w:right="0" w:firstLine="252"/>
              <w:rPr/>
            </w:pPr>
            <w:r>
              <w:rPr>
                <w:sz w:val="22"/>
              </w:rPr>
              <w:t xml:space="preserve">Принимая во внимание исключительные природно-климатические и лечебные ресурсы Быстринского района, подходящие для организации лечения и профилактики заболевай, а также для отдыха жителей Камчатского полуострова и Корякского автономного округа, считает перспективным развитие села Эссо как особо охраняемой зоны санаторно-оздоровительного назначения и как курортного района Камчатки. 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09"/>
                <w:tab w:val="left" w:pos="612" w:leader="none"/>
              </w:tabs>
              <w:ind w:left="0" w:right="0" w:firstLine="252"/>
              <w:rPr/>
            </w:pPr>
            <w:r>
              <w:rPr>
                <w:sz w:val="22"/>
              </w:rPr>
              <w:t>Во время летних каникул в Эссо приезжают отдыхать и оздоравливаться дети с Камчатки и Дальнего Востока. В 2014 г. построена  нова] школы в с. Эссо Быстринского района на 400 мест»,  в которой могут учиться дети из других муниципальных районов и круглогодично оздоравливаться юноши и девушки из коренных малочисленных народов, проживающие на Камчатке и Дальнем Востоке.</w:t>
            </w:r>
          </w:p>
        </w:tc>
      </w:tr>
      <w:tr>
        <w:trPr>
          <w:trHeight w:val="4168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215" w:right="605" w:hanging="0"/>
              <w:rPr/>
            </w:pPr>
            <w:r>
              <w:rPr>
                <w:color w:val="000000"/>
                <w:spacing w:val="-2"/>
                <w:sz w:val="24"/>
              </w:rPr>
              <w:t xml:space="preserve">Планируемая продукция 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09"/>
                <w:tab w:val="left" w:pos="612" w:leader="none"/>
              </w:tabs>
              <w:ind w:left="0" w:right="0" w:firstLine="252"/>
              <w:rPr/>
            </w:pPr>
            <w:r>
              <w:rPr>
                <w:color w:val="000000"/>
                <w:spacing w:val="-2"/>
                <w:sz w:val="22"/>
              </w:rPr>
              <w:t>(Требуемая инфраструктура:)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numPr>
                <w:ilvl w:val="0"/>
                <w:numId w:val="2"/>
              </w:numPr>
              <w:tabs>
                <w:tab w:val="clear" w:pos="709"/>
                <w:tab w:val="left" w:pos="612" w:leader="none"/>
              </w:tabs>
              <w:ind w:left="0" w:right="0" w:firstLine="252"/>
              <w:rPr/>
            </w:pPr>
            <w:r>
              <w:rPr>
                <w:sz w:val="22"/>
              </w:rPr>
              <w:t>Спальные корпуса - 4 на 150 мест – 3200 м</w:t>
            </w:r>
            <w:r>
              <w:rPr>
                <w:sz w:val="22"/>
                <w:vertAlign w:val="superscript"/>
              </w:rPr>
              <w:t>2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09"/>
                <w:tab w:val="left" w:pos="612" w:leader="none"/>
              </w:tabs>
              <w:ind w:left="0" w:right="0" w:firstLine="252"/>
              <w:rPr/>
            </w:pPr>
            <w:r>
              <w:rPr>
                <w:sz w:val="22"/>
              </w:rPr>
              <w:t>Лечебный корпус - 1500 м</w:t>
            </w:r>
            <w:r>
              <w:rPr>
                <w:sz w:val="22"/>
                <w:vertAlign w:val="superscript"/>
              </w:rPr>
              <w:t xml:space="preserve">2 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09"/>
                <w:tab w:val="left" w:pos="612" w:leader="none"/>
              </w:tabs>
              <w:ind w:left="0" w:right="0" w:firstLine="252"/>
              <w:rPr/>
            </w:pPr>
            <w:r>
              <w:rPr>
                <w:sz w:val="22"/>
              </w:rPr>
              <w:t>Комплекс учебно-игровой - 2000 м</w:t>
            </w:r>
            <w:r>
              <w:rPr>
                <w:sz w:val="22"/>
                <w:vertAlign w:val="superscript"/>
              </w:rPr>
              <w:t xml:space="preserve">2 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09"/>
                <w:tab w:val="left" w:pos="612" w:leader="none"/>
              </w:tabs>
              <w:ind w:left="0" w:right="0" w:firstLine="252"/>
              <w:rPr/>
            </w:pPr>
            <w:r>
              <w:rPr>
                <w:sz w:val="22"/>
              </w:rPr>
              <w:t>Крытый спортивный комплекс - 1000 м</w:t>
            </w:r>
            <w:r>
              <w:rPr>
                <w:sz w:val="22"/>
                <w:vertAlign w:val="superscript"/>
              </w:rPr>
              <w:t>2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09"/>
                <w:tab w:val="left" w:pos="612" w:leader="none"/>
              </w:tabs>
              <w:ind w:left="0" w:right="0" w:firstLine="252"/>
              <w:rPr/>
            </w:pPr>
            <w:r>
              <w:rPr>
                <w:sz w:val="22"/>
              </w:rPr>
              <w:t>Кухня-столовая, крытый бассейн - 500 м</w:t>
            </w:r>
            <w:r>
              <w:rPr>
                <w:sz w:val="22"/>
                <w:vertAlign w:val="superscript"/>
              </w:rPr>
              <w:t>2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09"/>
                <w:tab w:val="left" w:pos="612" w:leader="none"/>
              </w:tabs>
              <w:ind w:left="0" w:right="0" w:firstLine="252"/>
              <w:rPr/>
            </w:pPr>
            <w:r>
              <w:rPr>
                <w:sz w:val="22"/>
              </w:rPr>
              <w:t>Крытый автодром - 10 000 м</w:t>
            </w:r>
            <w:r>
              <w:rPr>
                <w:sz w:val="22"/>
                <w:vertAlign w:val="superscript"/>
              </w:rPr>
              <w:t>2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09"/>
                <w:tab w:val="left" w:pos="612" w:leader="none"/>
              </w:tabs>
              <w:ind w:left="0" w:right="0" w:firstLine="252"/>
              <w:rPr/>
            </w:pPr>
            <w:r>
              <w:rPr>
                <w:sz w:val="22"/>
              </w:rPr>
              <w:t>Спортивные площадки - 20 000 м</w:t>
            </w:r>
            <w:r>
              <w:rPr>
                <w:sz w:val="22"/>
                <w:vertAlign w:val="superscript"/>
              </w:rPr>
              <w:t>2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09"/>
                <w:tab w:val="left" w:pos="612" w:leader="none"/>
              </w:tabs>
              <w:ind w:left="0" w:right="0" w:firstLine="252"/>
              <w:rPr/>
            </w:pPr>
            <w:r>
              <w:rPr>
                <w:sz w:val="22"/>
              </w:rPr>
              <w:t>Игровые площадки - 2500 м</w:t>
            </w:r>
            <w:r>
              <w:rPr>
                <w:sz w:val="22"/>
                <w:vertAlign w:val="superscript"/>
              </w:rPr>
              <w:t>2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09"/>
                <w:tab w:val="left" w:pos="612" w:leader="none"/>
              </w:tabs>
              <w:ind w:left="0" w:right="0" w:firstLine="252"/>
              <w:rPr/>
            </w:pPr>
            <w:r>
              <w:rPr>
                <w:sz w:val="22"/>
              </w:rPr>
              <w:t>Открытый бассейн - 12 000 м</w:t>
            </w:r>
            <w:r>
              <w:rPr>
                <w:sz w:val="22"/>
                <w:vertAlign w:val="superscript"/>
              </w:rPr>
              <w:t>2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09"/>
                <w:tab w:val="left" w:pos="612" w:leader="none"/>
              </w:tabs>
              <w:ind w:left="0" w:right="0" w:firstLine="252"/>
              <w:rPr/>
            </w:pPr>
            <w:r>
              <w:rPr>
                <w:sz w:val="22"/>
              </w:rPr>
              <w:t>Закрытый бассейн - 500 м</w:t>
            </w:r>
            <w:r>
              <w:rPr>
                <w:sz w:val="22"/>
                <w:vertAlign w:val="superscript"/>
              </w:rPr>
              <w:t>2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09"/>
                <w:tab w:val="left" w:pos="612" w:leader="none"/>
              </w:tabs>
              <w:ind w:left="0" w:right="0" w:firstLine="252"/>
              <w:rPr/>
            </w:pPr>
            <w:r>
              <w:rPr>
                <w:sz w:val="22"/>
              </w:rPr>
              <w:t>Открытый автодром - 62 500 м</w:t>
            </w:r>
            <w:r>
              <w:rPr>
                <w:sz w:val="22"/>
                <w:vertAlign w:val="superscript"/>
              </w:rPr>
              <w:t>2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09"/>
                <w:tab w:val="left" w:pos="612" w:leader="none"/>
              </w:tabs>
              <w:ind w:left="0" w:right="0" w:firstLine="252"/>
              <w:rPr/>
            </w:pPr>
            <w:r>
              <w:rPr>
                <w:sz w:val="22"/>
              </w:rPr>
              <w:t>Административный корпус - 500 м</w:t>
            </w:r>
            <w:r>
              <w:rPr>
                <w:sz w:val="22"/>
                <w:vertAlign w:val="superscript"/>
              </w:rPr>
              <w:t>2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09"/>
                <w:tab w:val="left" w:pos="612" w:leader="none"/>
              </w:tabs>
              <w:ind w:left="0" w:right="0" w:firstLine="252"/>
              <w:rPr/>
            </w:pPr>
            <w:r>
              <w:rPr>
                <w:sz w:val="22"/>
              </w:rPr>
              <w:t>Парковая зона с игровыми аттракционами - 250 000 м</w:t>
            </w:r>
            <w:r>
              <w:rPr>
                <w:sz w:val="22"/>
                <w:vertAlign w:val="superscript"/>
              </w:rPr>
              <w:t>2</w:t>
            </w:r>
          </w:p>
          <w:p>
            <w:pPr>
              <w:pStyle w:val="Normal"/>
              <w:numPr>
                <w:ilvl w:val="0"/>
                <w:numId w:val="2"/>
              </w:numPr>
              <w:tabs>
                <w:tab w:val="clear" w:pos="709"/>
                <w:tab w:val="left" w:pos="612" w:leader="none"/>
              </w:tabs>
              <w:ind w:left="0" w:right="0" w:firstLine="252"/>
              <w:rPr/>
            </w:pPr>
            <w:r>
              <w:rPr>
                <w:sz w:val="22"/>
              </w:rPr>
              <w:t>Ландшафт - 250 000 м</w:t>
            </w:r>
            <w:r>
              <w:rPr>
                <w:sz w:val="22"/>
                <w:vertAlign w:val="superscript"/>
              </w:rPr>
              <w:t>2</w:t>
            </w:r>
          </w:p>
        </w:tc>
      </w:tr>
      <w:tr>
        <w:trPr>
          <w:trHeight w:val="5355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10" w:right="307" w:hanging="0"/>
              <w:rPr/>
            </w:pPr>
            <w:r>
              <w:rPr>
                <w:color w:val="000000"/>
                <w:spacing w:val="-3"/>
                <w:sz w:val="24"/>
              </w:rPr>
              <w:t xml:space="preserve">Описание рынка потребителей (анализ </w:t>
            </w:r>
            <w:r>
              <w:rPr>
                <w:color w:val="000000"/>
                <w:spacing w:val="-1"/>
                <w:sz w:val="24"/>
              </w:rPr>
              <w:t>внутреннего и внешнего рынков)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>Население Камчатского края ориентировано на лечение и отдых в здравницах России и за рубежом, например Далянь (Китай). Дороговизна цен на путевки и на авиационный транспорт, который является единственным в крае транспортом, позволяющим осуществлять сообщение с другими регионами России, значительно уменьшили спрос на путевки для лечения детей, нуждающихся в лечении за пределами Камчатского полуострова.</w:t>
            </w:r>
          </w:p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>В крае недостаточно удовлетворена потребность в оздоровительных учреждениях для детей, в том числе и из семей коренных народов Севера</w:t>
            </w:r>
            <w:r>
              <w:rPr>
                <w:rStyle w:val="Style16"/>
                <w:sz w:val="22"/>
              </w:rPr>
              <w:footnoteReference w:id="4"/>
            </w:r>
            <w:r>
              <w:rPr>
                <w:sz w:val="22"/>
              </w:rPr>
              <w:t>; отсутствует детский санаторно-оздоровительный центр круглогодичного действия. Совмещение летнего отдыха и оздоровления детей в Эссо, позволяет уменьшить или предотвратить развитие острых и хронических заболеваний, не выезжая за пределы Камчатки. Ежегодно районная администрация занимается организацией летних детских оздоровительных кампаний и накопила опыт, который может быть применен в дальнейшем.</w:t>
            </w:r>
          </w:p>
        </w:tc>
      </w:tr>
      <w:tr>
        <w:trPr>
          <w:trHeight w:val="960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10" w:right="0" w:hanging="0"/>
              <w:rPr/>
            </w:pPr>
            <w:r>
              <w:rPr>
                <w:color w:val="000000"/>
                <w:sz w:val="24"/>
              </w:rPr>
              <w:t>Стадия разработки идеи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>Составлена “Пояснительная записка” (описание бизнес-идеи). Проект внесен в “Банк данных инвестиционных объектов Камчатского края”.</w:t>
            </w:r>
          </w:p>
        </w:tc>
      </w:tr>
      <w:tr>
        <w:trPr>
          <w:trHeight w:val="405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ind w:left="5" w:right="140" w:hanging="0"/>
              <w:rPr/>
            </w:pPr>
            <w:r>
              <w:rPr>
                <w:color w:val="000000"/>
                <w:spacing w:val="-2"/>
                <w:sz w:val="24"/>
              </w:rPr>
              <w:t xml:space="preserve">Общая стоимость идеи, млн.руб., </w:t>
            </w:r>
            <w:r>
              <w:rPr>
                <w:color w:val="000000"/>
                <w:sz w:val="24"/>
              </w:rPr>
              <w:t>в   т.ч.: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spacing w:lineRule="atLeast" w:line="100"/>
              <w:ind w:left="125" w:right="5" w:hanging="0"/>
              <w:rPr/>
            </w:pPr>
            <w:r>
              <w:rPr>
                <w:sz w:val="22"/>
              </w:rPr>
              <w:t>1440,4</w:t>
            </w:r>
          </w:p>
        </w:tc>
      </w:tr>
      <w:tr>
        <w:trPr>
          <w:trHeight w:val="405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ind w:left="10" w:right="0" w:hanging="0"/>
              <w:rPr/>
            </w:pPr>
            <w:r>
              <w:rPr>
                <w:color w:val="000000"/>
                <w:spacing w:val="-1"/>
                <w:sz w:val="24"/>
              </w:rPr>
              <w:t>- собственные вкладываемые средства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125" w:right="5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283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ind w:left="10" w:right="0" w:hanging="0"/>
              <w:rPr/>
            </w:pPr>
            <w:r>
              <w:rPr>
                <w:color w:val="000000"/>
                <w:sz w:val="24"/>
              </w:rPr>
              <w:t>- запрашиваемые инвестиции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>Бюджетные средства</w:t>
            </w:r>
          </w:p>
        </w:tc>
      </w:tr>
      <w:tr>
        <w:trPr>
          <w:trHeight w:val="288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ind w:left="10" w:right="0" w:hanging="0"/>
              <w:rPr/>
            </w:pPr>
            <w:r>
              <w:rPr>
                <w:color w:val="000000"/>
                <w:sz w:val="24"/>
              </w:rPr>
              <w:t>Срок реализации идеи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125" w:right="5" w:hanging="0"/>
              <w:rPr/>
            </w:pPr>
            <w:r>
              <w:rPr>
                <w:sz w:val="22"/>
              </w:rPr>
              <w:t xml:space="preserve">5 лет </w:t>
            </w:r>
          </w:p>
        </w:tc>
      </w:tr>
      <w:tr>
        <w:trPr>
          <w:trHeight w:val="289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</w:tcPr>
          <w:p>
            <w:pPr>
              <w:pStyle w:val="Normal"/>
              <w:ind w:left="10" w:right="0" w:hanging="0"/>
              <w:rPr/>
            </w:pPr>
            <w:r>
              <w:rPr>
                <w:color w:val="000000"/>
                <w:sz w:val="24"/>
              </w:rPr>
              <w:t>Формы возврата инвестиций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ind w:left="125" w:right="5" w:hanging="0"/>
              <w:rPr>
                <w:sz w:val="22"/>
              </w:rPr>
            </w:pPr>
            <w:r>
              <w:rPr>
                <w:sz w:val="22"/>
              </w:rPr>
            </w:r>
          </w:p>
        </w:tc>
      </w:tr>
      <w:tr>
        <w:trPr>
          <w:trHeight w:val="5650" w:hRule="exact"/>
        </w:trPr>
        <w:tc>
          <w:tcPr>
            <w:tcW w:w="4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ind w:left="5" w:right="0" w:hanging="0"/>
              <w:rPr/>
            </w:pPr>
            <w:r>
              <w:rPr>
                <w:color w:val="000000"/>
                <w:sz w:val="24"/>
              </w:rPr>
              <w:t>Дополнительная информация</w:t>
            </w:r>
          </w:p>
          <w:p>
            <w:pPr>
              <w:pStyle w:val="Normal"/>
              <w:ind w:left="5" w:right="0" w:hanging="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</w:r>
          </w:p>
          <w:p>
            <w:pPr>
              <w:pStyle w:val="Normal"/>
              <w:ind w:left="125" w:right="5" w:hanging="0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</w:tcPr>
          <w:p>
            <w:pPr>
              <w:pStyle w:val="Normal"/>
              <w:widowControl w:val="false"/>
              <w:rPr/>
            </w:pPr>
            <w:r>
              <w:rPr>
                <w:sz w:val="22"/>
              </w:rPr>
              <w:t>В районе с 1999 по 2004 г. функционировал ДСОЛ «Надежда»</w:t>
            </w:r>
            <w:r>
              <w:rPr>
                <w:rStyle w:val="Style16"/>
                <w:sz w:val="22"/>
              </w:rPr>
              <w:footnoteReference w:id="5"/>
            </w:r>
            <w:r>
              <w:rPr>
                <w:sz w:val="22"/>
              </w:rPr>
              <w:t>,  котором пролечено 369 детей в возрасте от 6 до 14 лет с различными заболеваниями. На оздоровление в ДСОЛ «Надежда» направлялись дети из КАО</w:t>
            </w:r>
            <w:r>
              <w:rPr>
                <w:rStyle w:val="Style16"/>
                <w:sz w:val="22"/>
              </w:rPr>
              <w:footnoteReference w:id="6"/>
            </w:r>
            <w:r>
              <w:rPr>
                <w:sz w:val="22"/>
              </w:rPr>
              <w:t>. Областная администрация</w:t>
            </w:r>
            <w:r>
              <w:rPr>
                <w:rStyle w:val="Style16"/>
                <w:sz w:val="22"/>
              </w:rPr>
              <w:footnoteReference w:id="7"/>
            </w:r>
            <w:r>
              <w:rPr>
                <w:sz w:val="22"/>
              </w:rPr>
              <w:t xml:space="preserve"> выражала заинтересованность в оздоровлении детей в лагере при условии его преобразования в круглогодичный -  требования не были выполнены из-за отсутствия отдельного здания с развитой инфраструктурой. ДСОЛ «Надежда»  располагался на территории центральной районной больницы в 2-х одноэтажных, деревянных корпусах бывшего инфекционного и детского отделениях. В лагере  оздоравливались дети с частыми простудными заболеваниями, туб инфицированные, с заболеваниями желудочно–кишечного тракта, кожи, опорно-двигательного аппарата, сердечно-сосудистой системы, хронический тонзилит и отиты, заболевания почек. Использовались методики для повышения иммунитета с применением кислородных коктейлей, трав, массажа, физиопроцедур и других видов лечения.</w:t>
            </w:r>
          </w:p>
        </w:tc>
      </w:tr>
    </w:tbl>
    <w:p>
      <w:pPr>
        <w:pStyle w:val="Normal"/>
        <w:rPr/>
      </w:pPr>
      <w:r>
        <w:rPr/>
      </w:r>
    </w:p>
    <w:sectPr>
      <w:footnotePr>
        <w:numFmt w:val="decimal"/>
      </w:footnotePr>
      <w:type w:val="nextPage"/>
      <w:pgSz w:w="11906" w:h="16838"/>
      <w:pgMar w:left="1134" w:right="1134" w:header="0" w:top="851" w:footer="0" w:bottom="79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Times New Roman">
    <w:charset w:val="01"/>
    <w:family w:val="swiss"/>
    <w:pitch w:val="variable"/>
  </w:font>
  <w:font w:name="XO Thames">
    <w:charset w:val="01"/>
    <w:family w:val="roman"/>
    <w:pitch w:val="variable"/>
  </w:font>
  <w:font w:name="Symbol">
    <w:charset w:val="01"/>
    <w:family w:val="roman"/>
    <w:pitch w:val="variable"/>
  </w:font>
  <w:font w:name="Arial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Footnote1"/>
        <w:rPr/>
      </w:pPr>
      <w:r>
        <w:rPr>
          <w:rStyle w:val="Style23"/>
        </w:rPr>
        <w:footnoteRef/>
      </w:r>
      <w:r>
        <w:rPr/>
        <w:tab/>
        <w:t>Инвестиционная идея - коммерческое предложение</w:t>
      </w:r>
    </w:p>
  </w:footnote>
  <w:footnote w:id="3">
    <w:p>
      <w:pPr>
        <w:pStyle w:val="Footnote1"/>
        <w:rPr/>
      </w:pPr>
      <w:r>
        <w:rPr>
          <w:rStyle w:val="Style23"/>
        </w:rPr>
        <w:footnoteRef/>
      </w:r>
      <w:r>
        <w:rPr/>
        <w:tab/>
        <w:t>(включая проектно-изыскательские работы).</w:t>
      </w:r>
    </w:p>
  </w:footnote>
  <w:footnote w:id="4">
    <w:p>
      <w:pPr>
        <w:pStyle w:val="Footnote1"/>
        <w:rPr/>
      </w:pPr>
      <w:r>
        <w:rPr>
          <w:rStyle w:val="Style23"/>
        </w:rPr>
        <w:footnoteRef/>
      </w:r>
      <w:r>
        <w:rPr/>
        <w:tab/>
        <w:t xml:space="preserve">По расчетам института "Союзкурортпроект", эта обеспеченность составляет около 40%. </w:t>
      </w:r>
    </w:p>
  </w:footnote>
  <w:footnote w:id="5">
    <w:p>
      <w:pPr>
        <w:pStyle w:val="Footnote1"/>
        <w:rPr/>
      </w:pPr>
      <w:r>
        <w:rPr>
          <w:rStyle w:val="Style23"/>
        </w:rPr>
        <w:footnoteRef/>
      </w:r>
      <w:r>
        <w:rPr/>
        <w:tab/>
        <w:t>Детский санаторно-оздоровительный лагерь «Надежда»</w:t>
      </w:r>
    </w:p>
  </w:footnote>
  <w:footnote w:id="6">
    <w:p>
      <w:pPr>
        <w:pStyle w:val="Footnote1"/>
        <w:rPr/>
      </w:pPr>
      <w:r>
        <w:rPr>
          <w:rStyle w:val="Style23"/>
        </w:rPr>
        <w:footnoteRef/>
      </w:r>
      <w:r>
        <w:rPr/>
        <w:tab/>
        <w:t>Корякского автономного округа</w:t>
      </w:r>
    </w:p>
  </w:footnote>
  <w:footnote w:id="7">
    <w:p>
      <w:pPr>
        <w:pStyle w:val="Footnote1"/>
        <w:rPr/>
      </w:pPr>
      <w:r>
        <w:rPr>
          <w:rStyle w:val="Style23"/>
        </w:rPr>
        <w:footnoteRef/>
      </w:r>
      <w:r>
        <w:rPr/>
        <w:tab/>
        <w:t xml:space="preserve">Админисатрация Камчатской области </w:t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432" w:hanging="432"/>
      </w:pPr>
      <w:rPr>
        <w:vertAlign w:val="superscript"/>
        <w:sz w:val="22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40"/>
  <w:defaultTabStop w:val="709"/>
  <w:footnotePr>
    <w:numFmt w:val="decimal"/>
    <w:footnote w:id="0"/>
    <w:footnote w:id="1"/>
  </w:footnotePr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roid Sans Fallback" w:cs="DejaVu Sans"/>
        <w:color w:val="000000"/>
        <w:lang w:val="ru-RU" w:eastAsia="zh-CN" w:bidi="hi-IN"/>
      </w:rPr>
    </w:rPrDefault>
    <w:pPrDefault>
      <w:pPr/>
    </w:pPrDefault>
  </w:docDefaults>
  <w:latentStyles w:defLockedState="0" w:defUIPriority="99" w:defSemiHidden="1" w:defUnhideWhenUsed="1" w:defQFormat="0" w:count="24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Title" w:uiPriority="10" w:semiHidden="0" w:unhideWhenUsed="0" w:qFormat="1"/>
    <w:lsdException w:name="Subtitle" w:uiPriority="11" w:semiHidden="0" w:unhideWhenUsed="0" w:qFormat="1"/>
    <w:lsdException w:name="Header and Footer" w:semiHidden="0" w:unhideWhenUsed="0" w:qFormat="0"/>
    <w:lsdException w:name="Footnote" w:semiHidden="0" w:unhideWhenUsed="0" w:qFormat="0"/>
    <w:lsdException w:name="toc 1" w:uiPriority="39" w:semiHidden="0" w:unhideWhenUsed="0" w:qFormat="0"/>
    <w:lsdException w:name="toc 2" w:uiPriority="39" w:semiHidden="0" w:unhideWhenUsed="0" w:qFormat="0"/>
    <w:lsdException w:name="toc 3" w:uiPriority="39" w:semiHidden="0" w:unhideWhenUsed="0" w:qFormat="0"/>
    <w:lsdException w:name="toc 4" w:uiPriority="39" w:semiHidden="0" w:unhideWhenUsed="0" w:qFormat="0"/>
    <w:lsdException w:name="toc 5" w:uiPriority="39" w:semiHidden="0" w:unhideWhenUsed="0" w:qFormat="0"/>
    <w:lsdException w:name="toc 6" w:uiPriority="39" w:semiHidden="0" w:unhideWhenUsed="0" w:qFormat="0"/>
    <w:lsdException w:name="toc 7" w:uiPriority="39" w:semiHidden="0" w:unhideWhenUsed="0" w:qFormat="0"/>
    <w:lsdException w:name="toc 8" w:uiPriority="39" w:semiHidden="0" w:unhideWhenUsed="0" w:qFormat="0"/>
    <w:lsdException w:name="toc 9" w:uiPriority="39" w:semiHidden="0" w:unhideWhenUsed="0" w:qFormat="0"/>
    <w:lsdException w:name="Hyperlink" w:semiHidden="0" w:unhideWhenUsed="0" w:qFormat="0"/>
  </w:latentStyles>
  <w:style w:type="paragraph" w:styleId="Normal" w:default="1">
    <w:name w:val="Normal"/>
    <w:link w:val="Style_3_ch"/>
    <w:uiPriority w:val="0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1">
    <w:name w:val="Heading 1"/>
    <w:basedOn w:val="Style25"/>
    <w:next w:val="Style26"/>
    <w:link w:val="Style_47_ch"/>
    <w:uiPriority w:val="9"/>
    <w:qFormat/>
    <w:pPr>
      <w:numPr>
        <w:ilvl w:val="0"/>
        <w:numId w:val="1"/>
      </w:numPr>
      <w:outlineLvl w:val="0"/>
    </w:pPr>
    <w:rPr>
      <w:rFonts w:ascii="Times New Roman" w:hAnsi="Times New Roman"/>
      <w:b/>
      <w:sz w:val="48"/>
    </w:rPr>
  </w:style>
  <w:style w:type="paragraph" w:styleId="2">
    <w:name w:val="Heading 2"/>
    <w:next w:val="Normal"/>
    <w:link w:val="Style_77_ch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1"/>
    </w:pPr>
    <w:rPr>
      <w:rFonts w:ascii="XO Thames" w:hAnsi="XO Thames" w:eastAsia="Droid Sans Fallback" w:cs="DejaVu Sans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3">
    <w:name w:val="Heading 3"/>
    <w:next w:val="Normal"/>
    <w:link w:val="Style_18_ch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2"/>
    </w:pPr>
    <w:rPr>
      <w:rFonts w:ascii="XO Thames" w:hAnsi="XO Thames" w:eastAsia="Droid Sans Fallback" w:cs="DejaVu Sans"/>
      <w:b/>
      <w:color w:val="000000"/>
      <w:spacing w:val="0"/>
      <w:kern w:val="0"/>
      <w:sz w:val="26"/>
      <w:szCs w:val="20"/>
      <w:lang w:val="ru-RU" w:eastAsia="zh-CN" w:bidi="hi-IN"/>
    </w:rPr>
  </w:style>
  <w:style w:type="paragraph" w:styleId="4">
    <w:name w:val="Heading 4"/>
    <w:next w:val="Normal"/>
    <w:link w:val="Style_75_ch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3"/>
    </w:pPr>
    <w:rPr>
      <w:rFonts w:ascii="XO Thames" w:hAnsi="XO Thames" w:eastAsia="Droid Sans Fallback" w:cs="DejaVu Sans"/>
      <w:b/>
      <w:color w:val="000000"/>
      <w:spacing w:val="0"/>
      <w:kern w:val="0"/>
      <w:sz w:val="24"/>
      <w:szCs w:val="20"/>
      <w:lang w:val="ru-RU" w:eastAsia="zh-CN" w:bidi="hi-IN"/>
    </w:rPr>
  </w:style>
  <w:style w:type="paragraph" w:styleId="5">
    <w:name w:val="Heading 5"/>
    <w:next w:val="Normal"/>
    <w:link w:val="Style_45_ch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4"/>
    </w:pPr>
    <w:rPr>
      <w:rFonts w:ascii="XO Thames" w:hAnsi="XO Thames" w:eastAsia="Droid Sans Fallback" w:cs="DejaVu Sans"/>
      <w:b/>
      <w:color w:val="000000"/>
      <w:spacing w:val="0"/>
      <w:kern w:val="0"/>
      <w:sz w:val="22"/>
      <w:szCs w:val="20"/>
      <w:lang w:val="ru-RU" w:eastAsia="zh-CN" w:bidi="hi-IN"/>
    </w:rPr>
  </w:style>
  <w:style w:type="character" w:styleId="WW8Num6z0">
    <w:name w:val="WW8Num6z0"/>
    <w:link w:val="Style_4"/>
    <w:qFormat/>
    <w:rPr>
      <w:rFonts w:ascii="Symbol" w:hAnsi="Symbol"/>
    </w:rPr>
  </w:style>
  <w:style w:type="character" w:styleId="Contents2">
    <w:name w:val="Contents 2"/>
    <w:link w:val="Style_5"/>
    <w:qFormat/>
    <w:rPr>
      <w:rFonts w:ascii="XO Thames" w:hAnsi="XO Thames"/>
      <w:sz w:val="28"/>
    </w:rPr>
  </w:style>
  <w:style w:type="character" w:styleId="Contents4">
    <w:name w:val="Contents 4"/>
    <w:link w:val="Style_6"/>
    <w:qFormat/>
    <w:rPr>
      <w:rFonts w:ascii="XO Thames" w:hAnsi="XO Thames"/>
      <w:sz w:val="28"/>
    </w:rPr>
  </w:style>
  <w:style w:type="character" w:styleId="WW8Num2z5">
    <w:name w:val="WW8Num2z5"/>
    <w:link w:val="Style_7"/>
    <w:qFormat/>
    <w:rPr/>
  </w:style>
  <w:style w:type="character" w:styleId="Contents6">
    <w:name w:val="Contents 6"/>
    <w:link w:val="Style_8"/>
    <w:qFormat/>
    <w:rPr>
      <w:rFonts w:ascii="XO Thames" w:hAnsi="XO Thames"/>
      <w:sz w:val="28"/>
    </w:rPr>
  </w:style>
  <w:style w:type="character" w:styleId="BalloonText">
    <w:name w:val="Balloon Text"/>
    <w:link w:val="Style_9"/>
    <w:qFormat/>
    <w:rPr/>
  </w:style>
  <w:style w:type="character" w:styleId="WWAbsatzStandardschriftart111">
    <w:name w:val="WW-Absatz-Standardschriftart111"/>
    <w:link w:val="Style_10"/>
    <w:qFormat/>
    <w:rPr/>
  </w:style>
  <w:style w:type="character" w:styleId="Contents7">
    <w:name w:val="Contents 7"/>
    <w:link w:val="Style_11"/>
    <w:qFormat/>
    <w:rPr>
      <w:rFonts w:ascii="XO Thames" w:hAnsi="XO Thames"/>
      <w:sz w:val="28"/>
    </w:rPr>
  </w:style>
  <w:style w:type="character" w:styleId="Caption">
    <w:name w:val="caption"/>
    <w:basedOn w:val="Style12"/>
    <w:link w:val="Style_12"/>
    <w:qFormat/>
    <w:rPr/>
  </w:style>
  <w:style w:type="character" w:styleId="WW8Num1z5">
    <w:name w:val="WW8Num1z5"/>
    <w:link w:val="Style_15"/>
    <w:qFormat/>
    <w:rPr/>
  </w:style>
  <w:style w:type="character" w:styleId="WW8Num1z6">
    <w:name w:val="WW8Num1z6"/>
    <w:link w:val="Style_16"/>
    <w:qFormat/>
    <w:rPr/>
  </w:style>
  <w:style w:type="character" w:styleId="Style9">
    <w:name w:val="Название объекта"/>
    <w:link w:val="Style_17"/>
    <w:qFormat/>
    <w:rPr>
      <w:i/>
      <w:sz w:val="24"/>
    </w:rPr>
  </w:style>
  <w:style w:type="character" w:styleId="Heading3">
    <w:name w:val="Heading 3"/>
    <w:link w:val="Style_18"/>
    <w:qFormat/>
    <w:rPr>
      <w:rFonts w:ascii="XO Thames" w:hAnsi="XO Thames"/>
      <w:b/>
      <w:sz w:val="26"/>
    </w:rPr>
  </w:style>
  <w:style w:type="character" w:styleId="WWAbsatzStandardschriftart1">
    <w:name w:val="WW-Absatz-Standardschriftart1"/>
    <w:link w:val="Style_19"/>
    <w:qFormat/>
    <w:rPr/>
  </w:style>
  <w:style w:type="character" w:styleId="WWAbsatzStandardschriftart">
    <w:name w:val="WW-Absatz-Standardschriftart"/>
    <w:link w:val="Style_20"/>
    <w:qFormat/>
    <w:rPr/>
  </w:style>
  <w:style w:type="character" w:styleId="Style10">
    <w:name w:val="Указатель"/>
    <w:link w:val="Style_21"/>
    <w:qFormat/>
    <w:rPr/>
  </w:style>
  <w:style w:type="character" w:styleId="WW8Num1z7">
    <w:name w:val="WW8Num1z7"/>
    <w:link w:val="Style_22"/>
    <w:qFormat/>
    <w:rPr/>
  </w:style>
  <w:style w:type="character" w:styleId="WW8Num2z3">
    <w:name w:val="WW8Num2z3"/>
    <w:link w:val="Style_23"/>
    <w:qFormat/>
    <w:rPr/>
  </w:style>
  <w:style w:type="character" w:styleId="Style11">
    <w:name w:val="Заголовок таблицы"/>
    <w:basedOn w:val="Style13"/>
    <w:link w:val="Style_24"/>
    <w:qFormat/>
    <w:rPr>
      <w:b/>
    </w:rPr>
  </w:style>
  <w:style w:type="character" w:styleId="Style12">
    <w:name w:val="Заголовок"/>
    <w:link w:val="Style_14"/>
    <w:qFormat/>
    <w:rPr>
      <w:rFonts w:ascii="Arial" w:hAnsi="Arial"/>
      <w:sz w:val="28"/>
    </w:rPr>
  </w:style>
  <w:style w:type="character" w:styleId="Style13">
    <w:name w:val="Содержимое таблицы"/>
    <w:link w:val="Style_25"/>
    <w:qFormat/>
    <w:rPr/>
  </w:style>
  <w:style w:type="character" w:styleId="11">
    <w:name w:val="Указатель1"/>
    <w:link w:val="Style_27"/>
    <w:qFormat/>
    <w:rPr/>
  </w:style>
  <w:style w:type="character" w:styleId="Textbody">
    <w:name w:val="Text body"/>
    <w:link w:val="Style_26"/>
    <w:qFormat/>
    <w:rPr/>
  </w:style>
  <w:style w:type="character" w:styleId="List">
    <w:name w:val="List"/>
    <w:basedOn w:val="Textbody"/>
    <w:link w:val="Style_28"/>
    <w:qFormat/>
    <w:rPr/>
  </w:style>
  <w:style w:type="character" w:styleId="WWAbsatzStandardschriftart111111">
    <w:name w:val="WW-Absatz-Standardschriftart111111"/>
    <w:link w:val="Style_29"/>
    <w:qFormat/>
    <w:rPr/>
  </w:style>
  <w:style w:type="character" w:styleId="AbsatzStandardschriftart">
    <w:name w:val="Absatz-Standardschriftart"/>
    <w:link w:val="Style_30"/>
    <w:qFormat/>
    <w:rPr/>
  </w:style>
  <w:style w:type="character" w:styleId="Style14">
    <w:name w:val="Символ нумерации"/>
    <w:link w:val="Style_31"/>
    <w:qFormat/>
    <w:rPr/>
  </w:style>
  <w:style w:type="character" w:styleId="WW8Num2z2">
    <w:name w:val="WW8Num2z2"/>
    <w:link w:val="Style_32"/>
    <w:qFormat/>
    <w:rPr/>
  </w:style>
  <w:style w:type="character" w:styleId="Style15">
    <w:name w:val="Маркеры списка"/>
    <w:link w:val="Style_33"/>
    <w:qFormat/>
    <w:rPr>
      <w:rFonts w:ascii="OpenSymbol" w:hAnsi="OpenSymbol"/>
    </w:rPr>
  </w:style>
  <w:style w:type="character" w:styleId="WW8Num2z6">
    <w:name w:val="WW8Num2z6"/>
    <w:link w:val="Style_34"/>
    <w:qFormat/>
    <w:rPr/>
  </w:style>
  <w:style w:type="character" w:styleId="WW8Num2z1">
    <w:name w:val="WW8Num2z1"/>
    <w:link w:val="Style_35"/>
    <w:qFormat/>
    <w:rPr>
      <w:rFonts w:ascii="OpenSymbol" w:hAnsi="OpenSymbol"/>
    </w:rPr>
  </w:style>
  <w:style w:type="character" w:styleId="WW8Num5z0">
    <w:name w:val="WW8Num5z0"/>
    <w:link w:val="Style_36"/>
    <w:qFormat/>
    <w:rPr>
      <w:rFonts w:ascii="OpenSymbol" w:hAnsi="OpenSymbol"/>
    </w:rPr>
  </w:style>
  <w:style w:type="character" w:styleId="WW">
    <w:name w:val="WW-Символы концевой сноски"/>
    <w:link w:val="Style_37"/>
    <w:qFormat/>
    <w:rPr/>
  </w:style>
  <w:style w:type="character" w:styleId="Contents3">
    <w:name w:val="Contents 3"/>
    <w:link w:val="Style_38"/>
    <w:qFormat/>
    <w:rPr>
      <w:rFonts w:ascii="XO Thames" w:hAnsi="XO Thames"/>
      <w:sz w:val="28"/>
    </w:rPr>
  </w:style>
  <w:style w:type="character" w:styleId="Style16">
    <w:name w:val="Привязка сноски"/>
    <w:rPr>
      <w:vertAlign w:val="superscript"/>
    </w:rPr>
  </w:style>
  <w:style w:type="character" w:styleId="FootnoteCharacters">
    <w:name w:val="Footnote Characters"/>
    <w:link w:val="Style_39"/>
    <w:qFormat/>
    <w:rPr>
      <w:vertAlign w:val="superscript"/>
    </w:rPr>
  </w:style>
  <w:style w:type="character" w:styleId="WW8Num2z4">
    <w:name w:val="WW8Num2z4"/>
    <w:link w:val="Style_40"/>
    <w:qFormat/>
    <w:rPr/>
  </w:style>
  <w:style w:type="character" w:styleId="WWAbsatzStandardschriftart11111">
    <w:name w:val="WW-Absatz-Standardschriftart11111"/>
    <w:link w:val="Style_41"/>
    <w:qFormat/>
    <w:rPr/>
  </w:style>
  <w:style w:type="character" w:styleId="WW8Num1z4">
    <w:name w:val="WW8Num1z4"/>
    <w:link w:val="Style_42"/>
    <w:qFormat/>
    <w:rPr/>
  </w:style>
  <w:style w:type="character" w:styleId="WW8Num1z0">
    <w:name w:val="WW8Num1z0"/>
    <w:link w:val="Style_43"/>
    <w:qFormat/>
    <w:rPr>
      <w:rFonts w:ascii="Symbol" w:hAnsi="Symbol"/>
    </w:rPr>
  </w:style>
  <w:style w:type="character" w:styleId="DefaultParagraphFont0">
    <w:name w:val="Default Paragraph Font_0"/>
    <w:link w:val="Style_44"/>
    <w:qFormat/>
    <w:rPr/>
  </w:style>
  <w:style w:type="character" w:styleId="Heading5">
    <w:name w:val="Heading 5"/>
    <w:link w:val="Style_45"/>
    <w:qFormat/>
    <w:rPr>
      <w:rFonts w:ascii="XO Thames" w:hAnsi="XO Thames"/>
      <w:b/>
      <w:sz w:val="22"/>
    </w:rPr>
  </w:style>
  <w:style w:type="character" w:styleId="WWAbsatzStandardschriftart11">
    <w:name w:val="WW-Absatz-Standardschriftart11"/>
    <w:link w:val="Style_46"/>
    <w:qFormat/>
    <w:rPr/>
  </w:style>
  <w:style w:type="character" w:styleId="Heading1">
    <w:name w:val="Heading 1"/>
    <w:basedOn w:val="Style12"/>
    <w:link w:val="Style_47"/>
    <w:qFormat/>
    <w:rPr>
      <w:rFonts w:ascii="Times New Roman" w:hAnsi="Times New Roman"/>
      <w:b/>
      <w:sz w:val="48"/>
    </w:rPr>
  </w:style>
  <w:style w:type="character" w:styleId="Style17">
    <w:name w:val="Основной шрифт абзаца"/>
    <w:link w:val="Style_48"/>
    <w:qFormat/>
    <w:rPr/>
  </w:style>
  <w:style w:type="character" w:styleId="DefaultParagraphFont">
    <w:name w:val="Default Paragraph Font"/>
    <w:link w:val="Style_49"/>
    <w:qFormat/>
    <w:rPr/>
  </w:style>
  <w:style w:type="character" w:styleId="WWAbsatzStandardschriftart1111111">
    <w:name w:val="WW-Absatz-Standardschriftart1111111"/>
    <w:link w:val="Style_50"/>
    <w:qFormat/>
    <w:rPr/>
  </w:style>
  <w:style w:type="character" w:styleId="Style18">
    <w:name w:val="Интернет-ссылка"/>
    <w:link w:val="Style_51"/>
    <w:rPr>
      <w:color w:val="000080"/>
      <w:u w:val="single"/>
    </w:rPr>
  </w:style>
  <w:style w:type="character" w:styleId="Footnote">
    <w:name w:val="Footnote"/>
    <w:link w:val="Style_52"/>
    <w:qFormat/>
    <w:rPr>
      <w:sz w:val="20"/>
    </w:rPr>
  </w:style>
  <w:style w:type="character" w:styleId="Contents1">
    <w:name w:val="Contents 1"/>
    <w:link w:val="Style_53"/>
    <w:qFormat/>
    <w:rPr>
      <w:rFonts w:ascii="XO Thames" w:hAnsi="XO Thames"/>
      <w:b/>
      <w:sz w:val="28"/>
    </w:rPr>
  </w:style>
  <w:style w:type="character" w:styleId="HeaderandFooter">
    <w:name w:val="Header and Footer"/>
    <w:link w:val="Style_54"/>
    <w:qFormat/>
    <w:rPr>
      <w:rFonts w:ascii="XO Thames" w:hAnsi="XO Thames"/>
      <w:sz w:val="20"/>
    </w:rPr>
  </w:style>
  <w:style w:type="character" w:styleId="Style19">
    <w:name w:val="Текст выноски Знак"/>
    <w:basedOn w:val="DefaultParagraphFont0"/>
    <w:link w:val="Style_55"/>
    <w:qFormat/>
    <w:rPr/>
  </w:style>
  <w:style w:type="character" w:styleId="WW8Num2z7">
    <w:name w:val="WW8Num2z7"/>
    <w:link w:val="Style_56"/>
    <w:qFormat/>
    <w:rPr/>
  </w:style>
  <w:style w:type="character" w:styleId="WW8Num2z8">
    <w:name w:val="WW8Num2z8"/>
    <w:link w:val="Style_57"/>
    <w:qFormat/>
    <w:rPr/>
  </w:style>
  <w:style w:type="character" w:styleId="Contents9">
    <w:name w:val="Contents 9"/>
    <w:link w:val="Style_58"/>
    <w:qFormat/>
    <w:rPr>
      <w:rFonts w:ascii="XO Thames" w:hAnsi="XO Thames"/>
      <w:sz w:val="28"/>
    </w:rPr>
  </w:style>
  <w:style w:type="character" w:styleId="WWAbsatzStandardschriftart1111">
    <w:name w:val="WW-Absatz-Standardschriftart1111"/>
    <w:link w:val="Style_59"/>
    <w:qFormat/>
    <w:rPr/>
  </w:style>
  <w:style w:type="character" w:styleId="WW8Num2z0">
    <w:name w:val="WW8Num2z0"/>
    <w:link w:val="Style_61"/>
    <w:qFormat/>
    <w:rPr>
      <w:rFonts w:ascii="Symbol" w:hAnsi="Symbol"/>
      <w:sz w:val="22"/>
      <w:vertAlign w:val="superscript"/>
    </w:rPr>
  </w:style>
  <w:style w:type="character" w:styleId="Contents8">
    <w:name w:val="Contents 8"/>
    <w:link w:val="Style_62"/>
    <w:qFormat/>
    <w:rPr>
      <w:rFonts w:ascii="XO Thames" w:hAnsi="XO Thames"/>
      <w:sz w:val="28"/>
    </w:rPr>
  </w:style>
  <w:style w:type="character" w:styleId="WW8Num4z0">
    <w:name w:val="WW8Num4z0"/>
    <w:link w:val="Style_63"/>
    <w:qFormat/>
    <w:rPr>
      <w:rFonts w:ascii="Symbol" w:hAnsi="Symbol"/>
    </w:rPr>
  </w:style>
  <w:style w:type="character" w:styleId="WWAbsatzStandardschriftart111111111111">
    <w:name w:val="WW-Absatz-Standardschriftart111111111111"/>
    <w:link w:val="Style_64"/>
    <w:qFormat/>
    <w:rPr/>
  </w:style>
  <w:style w:type="character" w:styleId="WW8Num1z1">
    <w:name w:val="WW8Num1z1"/>
    <w:link w:val="Style_65"/>
    <w:qFormat/>
    <w:rPr/>
  </w:style>
  <w:style w:type="character" w:styleId="Style20">
    <w:name w:val="Знак сноски"/>
    <w:link w:val="Style_1"/>
    <w:qFormat/>
    <w:rPr>
      <w:vertAlign w:val="superscript"/>
    </w:rPr>
  </w:style>
  <w:style w:type="character" w:styleId="WW8Num1z2">
    <w:name w:val="WW8Num1z2"/>
    <w:link w:val="Style_66"/>
    <w:qFormat/>
    <w:rPr/>
  </w:style>
  <w:style w:type="character" w:styleId="Contents5">
    <w:name w:val="Contents 5"/>
    <w:link w:val="Style_67"/>
    <w:qFormat/>
    <w:rPr>
      <w:rFonts w:ascii="XO Thames" w:hAnsi="XO Thames"/>
      <w:sz w:val="28"/>
    </w:rPr>
  </w:style>
  <w:style w:type="character" w:styleId="Style21">
    <w:name w:val="Привязка концевой сноски"/>
    <w:rPr>
      <w:vertAlign w:val="superscript"/>
    </w:rPr>
  </w:style>
  <w:style w:type="character" w:styleId="EndnoteCharacters">
    <w:name w:val="Endnote Characters"/>
    <w:link w:val="Style_68"/>
    <w:qFormat/>
    <w:rPr>
      <w:vertAlign w:val="superscript"/>
    </w:rPr>
  </w:style>
  <w:style w:type="character" w:styleId="WW8Num6z1">
    <w:name w:val="WW8Num6z1"/>
    <w:link w:val="Style_69"/>
    <w:qFormat/>
    <w:rPr>
      <w:rFonts w:ascii="OpenSymbol" w:hAnsi="OpenSymbol"/>
    </w:rPr>
  </w:style>
  <w:style w:type="character" w:styleId="Style22">
    <w:name w:val="Символ концевой сноски"/>
    <w:link w:val="Style_70"/>
    <w:qFormat/>
    <w:rPr>
      <w:vertAlign w:val="superscript"/>
    </w:rPr>
  </w:style>
  <w:style w:type="character" w:styleId="WWAbsatzStandardschriftart1111111111">
    <w:name w:val="WW-Absatz-Standardschriftart1111111111"/>
    <w:link w:val="Style_71"/>
    <w:qFormat/>
    <w:rPr/>
  </w:style>
  <w:style w:type="character" w:styleId="Subtitle">
    <w:name w:val="Subtitle"/>
    <w:basedOn w:val="Style12"/>
    <w:link w:val="Style_13"/>
    <w:qFormat/>
    <w:rPr>
      <w:i/>
      <w:sz w:val="28"/>
    </w:rPr>
  </w:style>
  <w:style w:type="character" w:styleId="WW8Num1z8">
    <w:name w:val="WW8Num1z8"/>
    <w:link w:val="Style_72"/>
    <w:qFormat/>
    <w:rPr/>
  </w:style>
  <w:style w:type="character" w:styleId="WW8Num1z3">
    <w:name w:val="WW8Num1z3"/>
    <w:link w:val="Style_73"/>
    <w:qFormat/>
    <w:rPr/>
  </w:style>
  <w:style w:type="character" w:styleId="Title">
    <w:name w:val="Title"/>
    <w:link w:val="Style_74"/>
    <w:qFormat/>
    <w:rPr>
      <w:rFonts w:ascii="XO Thames" w:hAnsi="XO Thames"/>
      <w:b/>
      <w:caps/>
      <w:sz w:val="40"/>
    </w:rPr>
  </w:style>
  <w:style w:type="character" w:styleId="Heading4">
    <w:name w:val="Heading 4"/>
    <w:link w:val="Style_75"/>
    <w:qFormat/>
    <w:rPr>
      <w:rFonts w:ascii="XO Thames" w:hAnsi="XO Thames"/>
      <w:b/>
      <w:sz w:val="24"/>
    </w:rPr>
  </w:style>
  <w:style w:type="character" w:styleId="WWAbsatzStandardschriftart111111111">
    <w:name w:val="WW-Absatz-Standardschriftart111111111"/>
    <w:link w:val="Style_76"/>
    <w:qFormat/>
    <w:rPr/>
  </w:style>
  <w:style w:type="character" w:styleId="Heading2">
    <w:name w:val="Heading 2"/>
    <w:link w:val="Style_77"/>
    <w:qFormat/>
    <w:rPr>
      <w:rFonts w:ascii="XO Thames" w:hAnsi="XO Thames"/>
      <w:b/>
      <w:sz w:val="28"/>
    </w:rPr>
  </w:style>
  <w:style w:type="character" w:styleId="Style23">
    <w:name w:val="Символ сноски"/>
    <w:link w:val="Style_78"/>
    <w:qFormat/>
    <w:rPr/>
  </w:style>
  <w:style w:type="character" w:styleId="WWAbsatzStandardschriftart11111111">
    <w:name w:val="WW-Absatz-Standardschriftart11111111"/>
    <w:link w:val="Style_79"/>
    <w:qFormat/>
    <w:rPr/>
  </w:style>
  <w:style w:type="character" w:styleId="Style24">
    <w:name w:val="Символы концевой сноски"/>
    <w:link w:val="Style_80"/>
    <w:qFormat/>
    <w:rPr>
      <w:vertAlign w:val="superscript"/>
    </w:rPr>
  </w:style>
  <w:style w:type="character" w:styleId="WWAbsatzStandardschriftart11111111111">
    <w:name w:val="WW-Absatz-Standardschriftart11111111111"/>
    <w:link w:val="Style_81"/>
    <w:qFormat/>
    <w:rPr/>
  </w:style>
  <w:style w:type="paragraph" w:styleId="Style25">
    <w:name w:val="Заголовок"/>
    <w:basedOn w:val="Normal"/>
    <w:next w:val="Style26"/>
    <w:link w:val="Style_14_ch"/>
    <w:qFormat/>
    <w:pPr>
      <w:keepNext w:val="true"/>
      <w:spacing w:before="240" w:after="120"/>
    </w:pPr>
    <w:rPr>
      <w:rFonts w:ascii="Arial" w:hAnsi="Arial"/>
      <w:sz w:val="28"/>
    </w:rPr>
  </w:style>
  <w:style w:type="paragraph" w:styleId="Style26">
    <w:name w:val="Body Text"/>
    <w:basedOn w:val="Normal"/>
    <w:link w:val="Style_26_ch"/>
    <w:pPr>
      <w:spacing w:before="0" w:after="120"/>
    </w:pPr>
    <w:rPr/>
  </w:style>
  <w:style w:type="paragraph" w:styleId="Style27">
    <w:name w:val="List"/>
    <w:basedOn w:val="Style26"/>
    <w:link w:val="Style_28_ch"/>
    <w:pPr/>
    <w:rPr/>
  </w:style>
  <w:style w:type="paragraph" w:styleId="Style28">
    <w:name w:val="Caption"/>
    <w:basedOn w:val="Normal"/>
    <w:qFormat/>
    <w:pPr>
      <w:suppressLineNumbers/>
      <w:spacing w:before="120" w:after="120"/>
    </w:pPr>
    <w:rPr>
      <w:rFonts w:cs="DejaVu Sans"/>
      <w:i/>
      <w:iCs/>
      <w:sz w:val="24"/>
      <w:szCs w:val="24"/>
    </w:rPr>
  </w:style>
  <w:style w:type="paragraph" w:styleId="Style29">
    <w:name w:val="Указатель"/>
    <w:basedOn w:val="Normal"/>
    <w:link w:val="Style_21_ch"/>
    <w:qFormat/>
    <w:pPr/>
    <w:rPr/>
  </w:style>
  <w:style w:type="paragraph" w:styleId="WW8Num6z01">
    <w:name w:val="WW8Num6z0"/>
    <w:link w:val="Style_4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21">
    <w:name w:val="TOC 2"/>
    <w:next w:val="Normal"/>
    <w:link w:val="Style_5_ch"/>
    <w:uiPriority w:val="39"/>
    <w:pPr>
      <w:widowControl/>
      <w:bidi w:val="0"/>
      <w:spacing w:lineRule="auto" w:line="240" w:before="0" w:after="0"/>
      <w:ind w:left="200" w:right="0" w:hanging="0"/>
      <w:jc w:val="left"/>
    </w:pPr>
    <w:rPr>
      <w:rFonts w:ascii="XO Thames" w:hAnsi="XO Thames" w:eastAsia="Droid Sans Fallback" w:cs="DejaVu Sans"/>
      <w:color w:val="000000"/>
      <w:spacing w:val="0"/>
      <w:kern w:val="0"/>
      <w:sz w:val="28"/>
      <w:szCs w:val="20"/>
      <w:lang w:val="ru-RU" w:eastAsia="zh-CN" w:bidi="hi-IN"/>
    </w:rPr>
  </w:style>
  <w:style w:type="paragraph" w:styleId="41">
    <w:name w:val="TOC 4"/>
    <w:next w:val="Normal"/>
    <w:link w:val="Style_6_ch"/>
    <w:uiPriority w:val="39"/>
    <w:pPr>
      <w:widowControl/>
      <w:bidi w:val="0"/>
      <w:spacing w:lineRule="auto" w:line="240" w:before="0" w:after="0"/>
      <w:ind w:left="600" w:right="0" w:hanging="0"/>
      <w:jc w:val="left"/>
    </w:pPr>
    <w:rPr>
      <w:rFonts w:ascii="XO Thames" w:hAnsi="XO Thames" w:eastAsia="Droid Sans Fallback" w:cs="DejaVu Sans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2z51">
    <w:name w:val="WW8Num2z5"/>
    <w:link w:val="Style_7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6">
    <w:name w:val="TOC 6"/>
    <w:next w:val="Normal"/>
    <w:link w:val="Style_8_ch"/>
    <w:uiPriority w:val="39"/>
    <w:pPr>
      <w:widowControl/>
      <w:bidi w:val="0"/>
      <w:spacing w:lineRule="auto" w:line="240" w:before="0" w:after="0"/>
      <w:ind w:left="1000" w:right="0" w:hanging="0"/>
      <w:jc w:val="left"/>
    </w:pPr>
    <w:rPr>
      <w:rFonts w:ascii="XO Thames" w:hAnsi="XO Thames" w:eastAsia="Droid Sans Fallback" w:cs="DejaVu Sans"/>
      <w:color w:val="000000"/>
      <w:spacing w:val="0"/>
      <w:kern w:val="0"/>
      <w:sz w:val="28"/>
      <w:szCs w:val="20"/>
      <w:lang w:val="ru-RU" w:eastAsia="zh-CN" w:bidi="hi-IN"/>
    </w:rPr>
  </w:style>
  <w:style w:type="paragraph" w:styleId="BalloonText1">
    <w:name w:val="Balloon Text"/>
    <w:basedOn w:val="Normal"/>
    <w:link w:val="Style_9_ch"/>
    <w:qFormat/>
    <w:pPr/>
    <w:rPr/>
  </w:style>
  <w:style w:type="paragraph" w:styleId="WWAbsatzStandardschriftart1112">
    <w:name w:val="WW-Absatz-Standardschriftart111"/>
    <w:link w:val="Style_10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7">
    <w:name w:val="TOC 7"/>
    <w:next w:val="Normal"/>
    <w:link w:val="Style_11_ch"/>
    <w:uiPriority w:val="39"/>
    <w:pPr>
      <w:widowControl/>
      <w:bidi w:val="0"/>
      <w:spacing w:lineRule="auto" w:line="240" w:before="0" w:after="0"/>
      <w:ind w:left="1200" w:right="0" w:hanging="0"/>
      <w:jc w:val="left"/>
    </w:pPr>
    <w:rPr>
      <w:rFonts w:ascii="XO Thames" w:hAnsi="XO Thames" w:eastAsia="Droid Sans Fallback" w:cs="DejaVu Sans"/>
      <w:color w:val="000000"/>
      <w:spacing w:val="0"/>
      <w:kern w:val="0"/>
      <w:sz w:val="28"/>
      <w:szCs w:val="20"/>
      <w:lang w:val="ru-RU" w:eastAsia="zh-CN" w:bidi="hi-IN"/>
    </w:rPr>
  </w:style>
  <w:style w:type="paragraph" w:styleId="Caption1">
    <w:name w:val="caption"/>
    <w:basedOn w:val="Style25"/>
    <w:next w:val="Style40"/>
    <w:link w:val="Style_12_ch"/>
    <w:qFormat/>
    <w:pPr/>
    <w:rPr/>
  </w:style>
  <w:style w:type="paragraph" w:styleId="WW8Num1z51">
    <w:name w:val="WW8Num1z5"/>
    <w:link w:val="Style_15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z61">
    <w:name w:val="WW8Num1z6"/>
    <w:link w:val="Style_16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Style30">
    <w:name w:val="Название объекта"/>
    <w:basedOn w:val="Normal"/>
    <w:link w:val="Style_17_ch"/>
    <w:qFormat/>
    <w:pPr>
      <w:spacing w:before="120" w:after="120"/>
    </w:pPr>
    <w:rPr>
      <w:i/>
      <w:sz w:val="24"/>
    </w:rPr>
  </w:style>
  <w:style w:type="paragraph" w:styleId="WWAbsatzStandardschriftart12">
    <w:name w:val="WW-Absatz-Standardschriftart1"/>
    <w:link w:val="Style_19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WWAbsatzStandardschriftart2">
    <w:name w:val="WW-Absatz-Standardschriftart"/>
    <w:link w:val="Style_20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z71">
    <w:name w:val="WW8Num1z7"/>
    <w:link w:val="Style_22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z31">
    <w:name w:val="WW8Num2z3"/>
    <w:link w:val="Style_23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Style31">
    <w:name w:val="Содержимое таблицы"/>
    <w:basedOn w:val="Normal"/>
    <w:link w:val="Style_25_ch"/>
    <w:qFormat/>
    <w:pPr/>
    <w:rPr/>
  </w:style>
  <w:style w:type="paragraph" w:styleId="Style32">
    <w:name w:val="Заголовок таблицы"/>
    <w:basedOn w:val="Style31"/>
    <w:link w:val="Style_24_ch"/>
    <w:qFormat/>
    <w:pPr>
      <w:jc w:val="center"/>
    </w:pPr>
    <w:rPr>
      <w:b/>
    </w:rPr>
  </w:style>
  <w:style w:type="paragraph" w:styleId="12">
    <w:name w:val="Указатель1"/>
    <w:basedOn w:val="Normal"/>
    <w:link w:val="Style_27_ch"/>
    <w:qFormat/>
    <w:pPr/>
    <w:rPr/>
  </w:style>
  <w:style w:type="paragraph" w:styleId="WWAbsatzStandardschriftart1111112">
    <w:name w:val="WW-Absatz-Standardschriftart111111"/>
    <w:link w:val="Style_29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AbsatzStandardschriftart1">
    <w:name w:val="Absatz-Standardschriftart"/>
    <w:link w:val="Style_30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Style33">
    <w:name w:val="Символ нумерации"/>
    <w:link w:val="Style_31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z21">
    <w:name w:val="WW8Num2z2"/>
    <w:link w:val="Style_32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Style34">
    <w:name w:val="Маркеры списка"/>
    <w:link w:val="Style_33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OpenSymbol" w:hAnsi="OpenSymbol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z61">
    <w:name w:val="WW8Num2z6"/>
    <w:link w:val="Style_34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z11">
    <w:name w:val="WW8Num2z1"/>
    <w:link w:val="Style_35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OpenSymbol" w:hAnsi="OpenSymbol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5z01">
    <w:name w:val="WW8Num5z0"/>
    <w:link w:val="Style_36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OpenSymbol" w:hAnsi="OpenSymbol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WW1">
    <w:name w:val="WW-Символы концевой сноски"/>
    <w:link w:val="Style_37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31">
    <w:name w:val="TOC 3"/>
    <w:next w:val="Normal"/>
    <w:link w:val="Style_38_ch"/>
    <w:uiPriority w:val="39"/>
    <w:pPr>
      <w:widowControl/>
      <w:bidi w:val="0"/>
      <w:spacing w:lineRule="auto" w:line="240" w:before="0" w:after="0"/>
      <w:ind w:left="400" w:right="0" w:hanging="0"/>
      <w:jc w:val="left"/>
    </w:pPr>
    <w:rPr>
      <w:rFonts w:ascii="XO Thames" w:hAnsi="XO Thames" w:eastAsia="Droid Sans Fallback" w:cs="DejaVu Sans"/>
      <w:color w:val="000000"/>
      <w:spacing w:val="0"/>
      <w:kern w:val="0"/>
      <w:sz w:val="28"/>
      <w:szCs w:val="20"/>
      <w:lang w:val="ru-RU" w:eastAsia="zh-CN" w:bidi="hi-IN"/>
    </w:rPr>
  </w:style>
  <w:style w:type="paragraph" w:styleId="FootnoteCharacters1">
    <w:name w:val="Footnote Characters"/>
    <w:link w:val="Style_39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vertAlign w:val="superscript"/>
      <w:lang w:val="ru-RU" w:eastAsia="zh-CN" w:bidi="hi-IN"/>
    </w:rPr>
  </w:style>
  <w:style w:type="paragraph" w:styleId="WW8Num2z41">
    <w:name w:val="WW8Num2z4"/>
    <w:link w:val="Style_40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WWAbsatzStandardschriftart111112">
    <w:name w:val="WW-Absatz-Standardschriftart11111"/>
    <w:link w:val="Style_41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z41">
    <w:name w:val="WW8Num1z4"/>
    <w:link w:val="Style_42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z01">
    <w:name w:val="WW8Num1z0"/>
    <w:link w:val="Style_43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DefaultParagraphFont01">
    <w:name w:val="Default Paragraph Font_0"/>
    <w:link w:val="Style_44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WWAbsatzStandardschriftart112">
    <w:name w:val="WW-Absatz-Standardschriftart11"/>
    <w:link w:val="Style_46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Style35">
    <w:name w:val="Основной шрифт абзаца"/>
    <w:link w:val="Style_48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DefaultParagraphFont1">
    <w:name w:val="Default Paragraph Font"/>
    <w:link w:val="Style_49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WWAbsatzStandardschriftart11111112">
    <w:name w:val="WW-Absatz-Standardschriftart1111111"/>
    <w:link w:val="Style_50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Internetlink">
    <w:name w:val="Internet link"/>
    <w:link w:val="Style_51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80"/>
      <w:spacing w:val="0"/>
      <w:kern w:val="0"/>
      <w:sz w:val="20"/>
      <w:szCs w:val="20"/>
      <w:u w:val="single"/>
      <w:lang w:val="ru-RU" w:eastAsia="zh-CN" w:bidi="hi-IN"/>
    </w:rPr>
  </w:style>
  <w:style w:type="paragraph" w:styleId="Footnote1">
    <w:name w:val="Footnote"/>
    <w:basedOn w:val="Normal"/>
    <w:link w:val="Style_52_ch"/>
    <w:qFormat/>
    <w:pPr>
      <w:ind w:left="283" w:right="0" w:hanging="283"/>
    </w:pPr>
    <w:rPr>
      <w:sz w:val="20"/>
    </w:rPr>
  </w:style>
  <w:style w:type="paragraph" w:styleId="13">
    <w:name w:val="TOC 1"/>
    <w:next w:val="Normal"/>
    <w:link w:val="Style_53_ch"/>
    <w:uiPriority w:val="39"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Droid Sans Fallback" w:cs="DejaVu Sans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Style36">
    <w:name w:val="Верхний и нижний колонтитулы"/>
    <w:link w:val="Style_54_ch"/>
    <w:qFormat/>
    <w:pPr>
      <w:widowControl/>
      <w:bidi w:val="0"/>
      <w:spacing w:lineRule="auto" w:line="240" w:before="0" w:after="0"/>
      <w:ind w:left="0" w:right="0" w:hanging="0"/>
      <w:jc w:val="both"/>
    </w:pPr>
    <w:rPr>
      <w:rFonts w:ascii="XO Thames" w:hAnsi="XO Thames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Style37">
    <w:name w:val="Текст выноски Знак"/>
    <w:basedOn w:val="DefaultParagraphFont01"/>
    <w:link w:val="Style_55_ch"/>
    <w:qFormat/>
    <w:pPr/>
    <w:rPr/>
  </w:style>
  <w:style w:type="paragraph" w:styleId="WW8Num2z71">
    <w:name w:val="WW8Num2z7"/>
    <w:link w:val="Style_56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z81">
    <w:name w:val="WW8Num2z8"/>
    <w:link w:val="Style_57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9">
    <w:name w:val="TOC 9"/>
    <w:next w:val="Normal"/>
    <w:link w:val="Style_58_ch"/>
    <w:uiPriority w:val="39"/>
    <w:pPr>
      <w:widowControl/>
      <w:bidi w:val="0"/>
      <w:spacing w:lineRule="auto" w:line="240" w:before="0" w:after="0"/>
      <w:ind w:left="1600" w:right="0" w:hanging="0"/>
      <w:jc w:val="left"/>
    </w:pPr>
    <w:rPr>
      <w:rFonts w:ascii="XO Thames" w:hAnsi="XO Thames" w:eastAsia="Droid Sans Fallback" w:cs="DejaVu Sans"/>
      <w:color w:val="000000"/>
      <w:spacing w:val="0"/>
      <w:kern w:val="0"/>
      <w:sz w:val="28"/>
      <w:szCs w:val="20"/>
      <w:lang w:val="ru-RU" w:eastAsia="zh-CN" w:bidi="hi-IN"/>
    </w:rPr>
  </w:style>
  <w:style w:type="paragraph" w:styleId="WWAbsatzStandardschriftart11112">
    <w:name w:val="WW-Absatz-Standardschriftart1111"/>
    <w:link w:val="Style_59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ListLabel11">
    <w:name w:val="ListLabel 1"/>
    <w:link w:val="Style_60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2z01">
    <w:name w:val="WW8Num2z0"/>
    <w:link w:val="Style_61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Droid Sans Fallback" w:cs="DejaVu Sans"/>
      <w:color w:val="000000"/>
      <w:spacing w:val="0"/>
      <w:kern w:val="0"/>
      <w:sz w:val="22"/>
      <w:szCs w:val="20"/>
      <w:vertAlign w:val="superscript"/>
      <w:lang w:val="ru-RU" w:eastAsia="zh-CN" w:bidi="hi-IN"/>
    </w:rPr>
  </w:style>
  <w:style w:type="paragraph" w:styleId="8">
    <w:name w:val="TOC 8"/>
    <w:next w:val="Normal"/>
    <w:link w:val="Style_62_ch"/>
    <w:uiPriority w:val="39"/>
    <w:pPr>
      <w:widowControl/>
      <w:bidi w:val="0"/>
      <w:spacing w:lineRule="auto" w:line="240" w:before="0" w:after="0"/>
      <w:ind w:left="1400" w:right="0" w:hanging="0"/>
      <w:jc w:val="left"/>
    </w:pPr>
    <w:rPr>
      <w:rFonts w:ascii="XO Thames" w:hAnsi="XO Thames" w:eastAsia="Droid Sans Fallback" w:cs="DejaVu Sans"/>
      <w:color w:val="000000"/>
      <w:spacing w:val="0"/>
      <w:kern w:val="0"/>
      <w:sz w:val="28"/>
      <w:szCs w:val="20"/>
      <w:lang w:val="ru-RU" w:eastAsia="zh-CN" w:bidi="hi-IN"/>
    </w:rPr>
  </w:style>
  <w:style w:type="paragraph" w:styleId="WW8Num4z01">
    <w:name w:val="WW8Num4z0"/>
    <w:link w:val="Style_63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ymbol" w:hAnsi="Symbol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WWAbsatzStandardschriftart1111111111111">
    <w:name w:val="WW-Absatz-Standardschriftart111111111111"/>
    <w:link w:val="Style_64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z11">
    <w:name w:val="WW8Num1z1"/>
    <w:link w:val="Style_65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Style38">
    <w:name w:val="Знак сноски"/>
    <w:link w:val="Style_1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vertAlign w:val="superscript"/>
      <w:lang w:val="ru-RU" w:eastAsia="zh-CN" w:bidi="hi-IN"/>
    </w:rPr>
  </w:style>
  <w:style w:type="paragraph" w:styleId="WW8Num1z21">
    <w:name w:val="WW8Num1z2"/>
    <w:link w:val="Style_66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51">
    <w:name w:val="TOC 5"/>
    <w:next w:val="Normal"/>
    <w:link w:val="Style_67_ch"/>
    <w:uiPriority w:val="39"/>
    <w:pPr>
      <w:widowControl/>
      <w:bidi w:val="0"/>
      <w:spacing w:lineRule="auto" w:line="240" w:before="0" w:after="0"/>
      <w:ind w:left="800" w:right="0" w:hanging="0"/>
      <w:jc w:val="left"/>
    </w:pPr>
    <w:rPr>
      <w:rFonts w:ascii="XO Thames" w:hAnsi="XO Thames" w:eastAsia="Droid Sans Fallback" w:cs="DejaVu Sans"/>
      <w:color w:val="000000"/>
      <w:spacing w:val="0"/>
      <w:kern w:val="0"/>
      <w:sz w:val="28"/>
      <w:szCs w:val="20"/>
      <w:lang w:val="ru-RU" w:eastAsia="zh-CN" w:bidi="hi-IN"/>
    </w:rPr>
  </w:style>
  <w:style w:type="paragraph" w:styleId="EndnoteCharacters1">
    <w:name w:val="Endnote Characters"/>
    <w:link w:val="Style_68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vertAlign w:val="superscript"/>
      <w:lang w:val="ru-RU" w:eastAsia="zh-CN" w:bidi="hi-IN"/>
    </w:rPr>
  </w:style>
  <w:style w:type="paragraph" w:styleId="WW8Num6z11">
    <w:name w:val="WW8Num6z1"/>
    <w:link w:val="Style_69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OpenSymbol" w:hAnsi="OpenSymbol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Style39">
    <w:name w:val="Символ концевой сноски"/>
    <w:link w:val="Style_70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vertAlign w:val="superscript"/>
      <w:lang w:val="ru-RU" w:eastAsia="zh-CN" w:bidi="hi-IN"/>
    </w:rPr>
  </w:style>
  <w:style w:type="paragraph" w:styleId="WWAbsatzStandardschriftart11111111112">
    <w:name w:val="WW-Absatz-Standardschriftart1111111111"/>
    <w:link w:val="Style_71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0">
    <w:name w:val="Subtitle"/>
    <w:basedOn w:val="Style25"/>
    <w:next w:val="Style26"/>
    <w:link w:val="Style_13_ch"/>
    <w:uiPriority w:val="11"/>
    <w:qFormat/>
    <w:pPr>
      <w:jc w:val="center"/>
    </w:pPr>
    <w:rPr>
      <w:i/>
      <w:sz w:val="28"/>
    </w:rPr>
  </w:style>
  <w:style w:type="paragraph" w:styleId="WW8Num1z81">
    <w:name w:val="WW8Num1z8"/>
    <w:link w:val="Style_72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WW8Num1z31">
    <w:name w:val="WW8Num1z3"/>
    <w:link w:val="Style_73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1">
    <w:name w:val="Title"/>
    <w:next w:val="Normal"/>
    <w:link w:val="Style_74_ch"/>
    <w:uiPriority w:val="10"/>
    <w:qFormat/>
    <w:pPr>
      <w:widowControl/>
      <w:bidi w:val="0"/>
      <w:spacing w:lineRule="auto" w:line="240" w:before="567" w:after="567"/>
      <w:ind w:left="0" w:right="0" w:hanging="0"/>
      <w:jc w:val="center"/>
    </w:pPr>
    <w:rPr>
      <w:rFonts w:ascii="XO Thames" w:hAnsi="XO Thames" w:eastAsia="Droid Sans Fallback" w:cs="DejaVu Sans"/>
      <w:b/>
      <w:caps/>
      <w:color w:val="000000"/>
      <w:spacing w:val="0"/>
      <w:kern w:val="0"/>
      <w:sz w:val="40"/>
      <w:szCs w:val="20"/>
      <w:lang w:val="ru-RU" w:eastAsia="zh-CN" w:bidi="hi-IN"/>
    </w:rPr>
  </w:style>
  <w:style w:type="paragraph" w:styleId="WWAbsatzStandardschriftart1111111112">
    <w:name w:val="WW-Absatz-Standardschriftart111111111"/>
    <w:link w:val="Style_76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2">
    <w:name w:val="Символ сноски"/>
    <w:link w:val="Style_78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WWAbsatzStandardschriftart111111112">
    <w:name w:val="WW-Absatz-Standardschriftart11111111"/>
    <w:link w:val="Style_79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3">
    <w:name w:val="Символы концевой сноски"/>
    <w:link w:val="Style_80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vertAlign w:val="superscript"/>
      <w:lang w:val="ru-RU" w:eastAsia="zh-CN" w:bidi="hi-IN"/>
    </w:rPr>
  </w:style>
  <w:style w:type="paragraph" w:styleId="WWAbsatzStandardschriftart111111111112">
    <w:name w:val="WW-Absatz-Standardschriftart11111111111"/>
    <w:link w:val="Style_81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ejaVu Sans"/>
      <w:color w:val="000000"/>
      <w:spacing w:val="0"/>
      <w:kern w:val="0"/>
      <w:sz w:val="20"/>
      <w:szCs w:val="20"/>
      <w:lang w:val="ru-RU" w:eastAsia="zh-CN" w:bidi="hi-IN"/>
    </w:rPr>
  </w:style>
  <w:style w:type="paragraph" w:styleId="Style44">
    <w:name w:val="Footnote Text"/>
    <w:basedOn w:val="Normal"/>
    <w:pPr/>
    <w:rPr/>
  </w:style>
  <w:style w:type="table" w:default="1" w:styleId="Style_2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otnotes" Target="footnotes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LibreOffice/6.3.6.2$Linux_X86_64 LibreOffice_project/30$Build-2</Application>
  <Pages>5</Pages>
  <Words>1019</Words>
  <Characters>7548</Characters>
  <CharactersWithSpaces>8518</CharactersWithSpaces>
  <Paragraphs>91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2022-07-13T14:13:42Z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ScaleCrop">
    <vt:bool>0</vt:bool>
  </property>
</Properties>
</file>